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7E" w:rsidRPr="0099427E" w:rsidRDefault="0099427E" w:rsidP="00BE16D0">
      <w:pPr>
        <w:ind w:right="-284"/>
      </w:pPr>
      <w:r w:rsidRPr="0099427E">
        <w:rPr>
          <w:rFonts w:ascii="M_Garamond" w:eastAsia="Times New Roman" w:hAnsi="M_Garamond" w:cs="Times New Roman"/>
          <w:noProof/>
          <w:sz w:val="28"/>
          <w:szCs w:val="28"/>
          <w:lang w:val="en-US"/>
        </w:rPr>
        <w:drawing>
          <wp:inline distT="0" distB="0" distL="0" distR="0" wp14:anchorId="2C6556F7" wp14:editId="46C61A85">
            <wp:extent cx="6141720" cy="1189355"/>
            <wp:effectExtent l="0" t="0" r="0" b="0"/>
            <wp:docPr id="2" name="Picture 2" descr="C:\Users\xxx\Documents\MEMORANDUM_TETEKS AD_355000_bezI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cuments\MEMORANDUM_TETEKS AD_355000_bezIS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05" w:rsidRDefault="00C244F2" w:rsidP="00207A2E">
      <w:pPr>
        <w:pStyle w:val="NoSpacing"/>
        <w:rPr>
          <w:rFonts w:ascii="Arial" w:hAnsi="Arial" w:cs="Arial"/>
        </w:rPr>
      </w:pPr>
      <w:r w:rsidRPr="00207A2E">
        <w:t xml:space="preserve">                               </w:t>
      </w:r>
      <w:r w:rsidR="00207A2E">
        <w:t xml:space="preserve">  </w:t>
      </w:r>
      <w:r w:rsidR="000A4CF0" w:rsidRPr="007722CA">
        <w:t xml:space="preserve"> </w:t>
      </w:r>
      <w:r w:rsidR="00207A2E" w:rsidRPr="00C7664F">
        <w:rPr>
          <w:rFonts w:ascii="Arial" w:hAnsi="Arial" w:cs="Arial"/>
        </w:rPr>
        <w:t xml:space="preserve"> </w:t>
      </w:r>
      <w:r w:rsidR="005C687B" w:rsidRPr="007722CA">
        <w:rPr>
          <w:rFonts w:ascii="Arial" w:hAnsi="Arial" w:cs="Arial"/>
        </w:rPr>
        <w:t xml:space="preserve">            </w:t>
      </w:r>
    </w:p>
    <w:p w:rsidR="00207A2E" w:rsidRPr="007722CA" w:rsidRDefault="00C244F2" w:rsidP="007722CA">
      <w:pPr>
        <w:pStyle w:val="NoSpacing"/>
        <w:jc w:val="center"/>
        <w:rPr>
          <w:rFonts w:ascii="Arial" w:hAnsi="Arial" w:cs="Arial"/>
          <w:b/>
          <w:sz w:val="24"/>
        </w:rPr>
      </w:pPr>
      <w:r w:rsidRPr="007722CA">
        <w:rPr>
          <w:rFonts w:ascii="Arial" w:hAnsi="Arial" w:cs="Arial"/>
          <w:b/>
          <w:sz w:val="24"/>
        </w:rPr>
        <w:t>Образложение за остварените резултати</w:t>
      </w:r>
    </w:p>
    <w:p w:rsidR="00C244F2" w:rsidRPr="007722CA" w:rsidRDefault="00C244F2" w:rsidP="007722CA">
      <w:pPr>
        <w:pStyle w:val="NoSpacing"/>
        <w:jc w:val="center"/>
        <w:rPr>
          <w:rFonts w:ascii="Arial" w:hAnsi="Arial" w:cs="Arial"/>
        </w:rPr>
      </w:pPr>
      <w:r w:rsidRPr="007722CA">
        <w:rPr>
          <w:rFonts w:ascii="Arial" w:hAnsi="Arial" w:cs="Arial"/>
          <w:b/>
          <w:sz w:val="24"/>
        </w:rPr>
        <w:t>за периодот јануари-</w:t>
      </w:r>
      <w:r w:rsidR="003C4A00" w:rsidRPr="007722CA">
        <w:rPr>
          <w:rFonts w:ascii="Arial" w:hAnsi="Arial" w:cs="Arial"/>
          <w:b/>
          <w:sz w:val="24"/>
        </w:rPr>
        <w:t xml:space="preserve">декември </w:t>
      </w:r>
      <w:r w:rsidR="00E52132" w:rsidRPr="007722CA">
        <w:rPr>
          <w:rFonts w:ascii="Arial" w:hAnsi="Arial" w:cs="Arial"/>
          <w:b/>
          <w:sz w:val="24"/>
        </w:rPr>
        <w:t>20</w:t>
      </w:r>
      <w:r w:rsidR="000A2672" w:rsidRPr="007722CA">
        <w:rPr>
          <w:rFonts w:ascii="Arial" w:hAnsi="Arial" w:cs="Arial"/>
          <w:b/>
          <w:sz w:val="24"/>
        </w:rPr>
        <w:t>2</w:t>
      </w:r>
      <w:r w:rsidR="0099427E" w:rsidRPr="007722CA">
        <w:rPr>
          <w:rFonts w:ascii="Arial" w:hAnsi="Arial" w:cs="Arial"/>
          <w:b/>
          <w:sz w:val="24"/>
        </w:rPr>
        <w:t>2</w:t>
      </w:r>
      <w:r w:rsidRPr="007722CA">
        <w:rPr>
          <w:rFonts w:ascii="Arial" w:hAnsi="Arial" w:cs="Arial"/>
          <w:b/>
          <w:sz w:val="24"/>
        </w:rPr>
        <w:t xml:space="preserve"> година</w:t>
      </w:r>
    </w:p>
    <w:p w:rsidR="000A2672" w:rsidRDefault="000A2672" w:rsidP="00207A2E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Сметковод</w:t>
      </w:r>
      <w:r w:rsidRPr="007A19E4">
        <w:rPr>
          <w:rFonts w:ascii="Arial" w:eastAsia="Times New Roman" w:hAnsi="Arial" w:cs="Arial"/>
          <w:b/>
        </w:rPr>
        <w:t>с</w:t>
      </w:r>
      <w:r w:rsidRPr="00547599">
        <w:rPr>
          <w:rFonts w:ascii="Arial" w:eastAsia="Times New Roman" w:hAnsi="Arial" w:cs="Arial"/>
          <w:b/>
        </w:rPr>
        <w:t>твени политики и методи на вреднување</w:t>
      </w:r>
    </w:p>
    <w:p w:rsidR="004C6A5B" w:rsidRPr="004C6A5B" w:rsidRDefault="004C6A5B" w:rsidP="00207A2E">
      <w:pPr>
        <w:pStyle w:val="NoSpacing"/>
        <w:rPr>
          <w:rFonts w:ascii="Arial" w:hAnsi="Arial" w:cs="Arial"/>
        </w:rPr>
      </w:pPr>
    </w:p>
    <w:p w:rsidR="000A2672" w:rsidRDefault="000A2672" w:rsidP="007722CA">
      <w:pPr>
        <w:pStyle w:val="NoSpacing"/>
        <w:ind w:right="679"/>
        <w:rPr>
          <w:rFonts w:ascii="Arial" w:hAnsi="Arial" w:cs="Arial"/>
        </w:rPr>
      </w:pPr>
      <w:r w:rsidRPr="007722CA">
        <w:rPr>
          <w:rFonts w:ascii="Arial" w:hAnsi="Arial" w:cs="Arial"/>
        </w:rPr>
        <w:t xml:space="preserve">   </w:t>
      </w:r>
      <w:r w:rsidR="004C6A5B">
        <w:rPr>
          <w:rFonts w:ascii="Arial" w:hAnsi="Arial" w:cs="Arial"/>
        </w:rPr>
        <w:t xml:space="preserve"> </w:t>
      </w:r>
      <w:r w:rsidRPr="007722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Во сметководствените политики и методи на вреднување на ставките во финансиските извештаи на ТЕТЕКС АД споредено со последните ревидирани финансиски извештаи  во периодот 01.01-3</w:t>
      </w:r>
      <w:r w:rsidR="0099427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C4A00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99427E">
        <w:rPr>
          <w:rFonts w:ascii="Arial" w:hAnsi="Arial" w:cs="Arial"/>
        </w:rPr>
        <w:t>2</w:t>
      </w:r>
      <w:r w:rsidR="00772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год. немаше промени.</w:t>
      </w:r>
    </w:p>
    <w:p w:rsidR="007A19E4" w:rsidRDefault="007A19E4" w:rsidP="00207A2E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Вкупни приходи</w:t>
      </w:r>
    </w:p>
    <w:p w:rsidR="000A2672" w:rsidRDefault="000A2672" w:rsidP="00207A2E">
      <w:pPr>
        <w:pStyle w:val="NoSpacing"/>
        <w:rPr>
          <w:rFonts w:ascii="Arial" w:hAnsi="Arial" w:cs="Arial"/>
        </w:rPr>
      </w:pPr>
    </w:p>
    <w:p w:rsidR="005C687B" w:rsidRPr="007722CA" w:rsidRDefault="00C244F2" w:rsidP="00207A2E">
      <w:pPr>
        <w:pStyle w:val="NoSpacing"/>
        <w:rPr>
          <w:rFonts w:ascii="Arial" w:hAnsi="Arial" w:cs="Arial"/>
        </w:rPr>
      </w:pPr>
      <w:r w:rsidRPr="00C7664F">
        <w:rPr>
          <w:rFonts w:ascii="Arial" w:hAnsi="Arial" w:cs="Arial"/>
        </w:rPr>
        <w:t xml:space="preserve">      ТЕТЕКС АД за периодот јануари-</w:t>
      </w:r>
      <w:r w:rsidR="003C4A00">
        <w:rPr>
          <w:rFonts w:ascii="Arial" w:hAnsi="Arial" w:cs="Arial"/>
        </w:rPr>
        <w:t xml:space="preserve">декември </w:t>
      </w:r>
      <w:r w:rsidR="00442F42" w:rsidRPr="00C7664F">
        <w:rPr>
          <w:rFonts w:ascii="Arial" w:hAnsi="Arial" w:cs="Arial"/>
        </w:rPr>
        <w:t xml:space="preserve"> </w:t>
      </w:r>
      <w:r w:rsidRPr="00C7664F">
        <w:rPr>
          <w:rFonts w:ascii="Arial" w:hAnsi="Arial" w:cs="Arial"/>
        </w:rPr>
        <w:t>20</w:t>
      </w:r>
      <w:r w:rsidR="000A2672">
        <w:rPr>
          <w:rFonts w:ascii="Arial" w:hAnsi="Arial" w:cs="Arial"/>
        </w:rPr>
        <w:t>2</w:t>
      </w:r>
      <w:r w:rsidR="0099427E">
        <w:rPr>
          <w:rFonts w:ascii="Arial" w:hAnsi="Arial" w:cs="Arial"/>
        </w:rPr>
        <w:t>2</w:t>
      </w:r>
      <w:r w:rsidRPr="00C7664F">
        <w:rPr>
          <w:rFonts w:ascii="Arial" w:hAnsi="Arial" w:cs="Arial"/>
        </w:rPr>
        <w:t xml:space="preserve"> година оствари позитив</w:t>
      </w:r>
      <w:r w:rsidR="004C6A5B">
        <w:rPr>
          <w:rFonts w:ascii="Arial" w:hAnsi="Arial" w:cs="Arial"/>
        </w:rPr>
        <w:t>е</w:t>
      </w:r>
      <w:r w:rsidRPr="00C7664F">
        <w:rPr>
          <w:rFonts w:ascii="Arial" w:hAnsi="Arial" w:cs="Arial"/>
        </w:rPr>
        <w:t>н финансиски резултат искажан во неревидираниот единечен Биланс на успех</w:t>
      </w:r>
      <w:r w:rsidR="00A73FB9" w:rsidRPr="00C7664F">
        <w:rPr>
          <w:rFonts w:ascii="Arial" w:hAnsi="Arial" w:cs="Arial"/>
        </w:rPr>
        <w:t>.</w:t>
      </w:r>
    </w:p>
    <w:p w:rsidR="00EB7F34" w:rsidRDefault="003E3D05" w:rsidP="00207A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35A4D" w:rsidRPr="00C7664F">
        <w:rPr>
          <w:rFonts w:ascii="Arial" w:hAnsi="Arial" w:cs="Arial"/>
        </w:rPr>
        <w:t xml:space="preserve">Приходите </w:t>
      </w:r>
      <w:r w:rsidR="00F90B64">
        <w:rPr>
          <w:rFonts w:ascii="Arial" w:hAnsi="Arial" w:cs="Arial"/>
        </w:rPr>
        <w:t xml:space="preserve">остварени од </w:t>
      </w:r>
      <w:r w:rsidR="00F90B64" w:rsidRPr="00C7664F">
        <w:rPr>
          <w:rFonts w:ascii="Arial" w:hAnsi="Arial" w:cs="Arial"/>
        </w:rPr>
        <w:t xml:space="preserve">продажба на готови производи и услуги </w:t>
      </w:r>
      <w:r w:rsidR="00F90B64">
        <w:rPr>
          <w:rFonts w:ascii="Arial" w:hAnsi="Arial" w:cs="Arial"/>
        </w:rPr>
        <w:t xml:space="preserve">се </w:t>
      </w:r>
      <w:r w:rsidR="003C4A00">
        <w:rPr>
          <w:rFonts w:ascii="Arial" w:hAnsi="Arial" w:cs="Arial"/>
        </w:rPr>
        <w:t>51.702</w:t>
      </w:r>
      <w:r w:rsidR="0099427E">
        <w:rPr>
          <w:rFonts w:ascii="Arial" w:hAnsi="Arial" w:cs="Arial"/>
        </w:rPr>
        <w:t xml:space="preserve"> </w:t>
      </w:r>
      <w:r w:rsidR="00EB7F34">
        <w:rPr>
          <w:rFonts w:ascii="Arial" w:hAnsi="Arial" w:cs="Arial"/>
        </w:rPr>
        <w:t xml:space="preserve">илјади </w:t>
      </w:r>
      <w:r w:rsidR="00F90B64">
        <w:rPr>
          <w:rFonts w:ascii="Arial" w:hAnsi="Arial" w:cs="Arial"/>
        </w:rPr>
        <w:t>ден,</w:t>
      </w:r>
    </w:p>
    <w:p w:rsidR="003E3D05" w:rsidRPr="007722CA" w:rsidRDefault="00F90B64" w:rsidP="00207A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и истите се  резултат од редовното работење</w:t>
      </w:r>
      <w:r w:rsidR="007722CA">
        <w:rPr>
          <w:rFonts w:ascii="Arial" w:hAnsi="Arial" w:cs="Arial"/>
        </w:rPr>
        <w:t>,</w:t>
      </w:r>
      <w:r w:rsidR="003E3D05">
        <w:rPr>
          <w:rFonts w:ascii="Arial" w:hAnsi="Arial" w:cs="Arial"/>
        </w:rPr>
        <w:t xml:space="preserve"> во што се вклучени</w:t>
      </w:r>
      <w:r w:rsidR="00907DF1">
        <w:rPr>
          <w:rFonts w:ascii="Arial" w:hAnsi="Arial" w:cs="Arial"/>
        </w:rPr>
        <w:t xml:space="preserve"> приходи од кирии,</w:t>
      </w:r>
      <w:r w:rsidR="007722CA">
        <w:rPr>
          <w:rFonts w:ascii="Arial" w:hAnsi="Arial" w:cs="Arial"/>
        </w:rPr>
        <w:t xml:space="preserve"> </w:t>
      </w:r>
      <w:r w:rsidR="00907DF1">
        <w:rPr>
          <w:rFonts w:ascii="Arial" w:hAnsi="Arial" w:cs="Arial"/>
        </w:rPr>
        <w:t>услуги и продажба на готови производи и стоки.</w:t>
      </w:r>
      <w:r>
        <w:rPr>
          <w:rFonts w:ascii="Arial" w:hAnsi="Arial" w:cs="Arial"/>
        </w:rPr>
        <w:t xml:space="preserve"> </w:t>
      </w:r>
    </w:p>
    <w:p w:rsidR="00B61CDC" w:rsidRDefault="0064160A" w:rsidP="00207A2E">
      <w:pPr>
        <w:pStyle w:val="NoSpacing"/>
        <w:rPr>
          <w:rFonts w:ascii="Arial" w:hAnsi="Arial" w:cs="Arial"/>
        </w:rPr>
      </w:pPr>
      <w:r w:rsidRPr="007722C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B61CD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станати приходи </w:t>
      </w:r>
      <w:r w:rsidR="00B61CDC">
        <w:rPr>
          <w:rFonts w:ascii="Arial" w:hAnsi="Arial" w:cs="Arial"/>
        </w:rPr>
        <w:t xml:space="preserve"> изнесуваат 83.117 илјади, и во нив </w:t>
      </w:r>
      <w:r>
        <w:rPr>
          <w:rFonts w:ascii="Arial" w:hAnsi="Arial" w:cs="Arial"/>
        </w:rPr>
        <w:t xml:space="preserve">се </w:t>
      </w:r>
      <w:r w:rsidR="00B61CDC">
        <w:rPr>
          <w:rFonts w:ascii="Arial" w:hAnsi="Arial" w:cs="Arial"/>
        </w:rPr>
        <w:t>вклучени приходите од продажба</w:t>
      </w:r>
    </w:p>
    <w:p w:rsidR="00FA7B3C" w:rsidRDefault="00B61CDC" w:rsidP="00207A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на материјални средства 9.878 илјади</w:t>
      </w:r>
      <w:r w:rsidR="007722CA">
        <w:rPr>
          <w:rFonts w:ascii="Arial" w:hAnsi="Arial" w:cs="Arial"/>
        </w:rPr>
        <w:t xml:space="preserve"> ден.</w:t>
      </w:r>
      <w:r>
        <w:rPr>
          <w:rFonts w:ascii="Arial" w:hAnsi="Arial" w:cs="Arial"/>
        </w:rPr>
        <w:t>, вредносно усогласување на залихи 7.697 илјади и</w:t>
      </w:r>
    </w:p>
    <w:p w:rsidR="00EB7F34" w:rsidRDefault="00B61CDC" w:rsidP="009942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проценка на </w:t>
      </w:r>
      <w:r w:rsidR="00FA7B3C">
        <w:rPr>
          <w:rFonts w:ascii="Arial" w:hAnsi="Arial" w:cs="Arial"/>
        </w:rPr>
        <w:t xml:space="preserve">недвижен имот </w:t>
      </w:r>
      <w:r>
        <w:rPr>
          <w:rFonts w:ascii="Arial" w:hAnsi="Arial" w:cs="Arial"/>
        </w:rPr>
        <w:t xml:space="preserve"> 65.542 илјади</w:t>
      </w:r>
      <w:r w:rsidR="007722CA">
        <w:rPr>
          <w:rFonts w:ascii="Arial" w:hAnsi="Arial" w:cs="Arial"/>
        </w:rPr>
        <w:t xml:space="preserve"> ден</w:t>
      </w:r>
      <w:r>
        <w:rPr>
          <w:rFonts w:ascii="Arial" w:hAnsi="Arial" w:cs="Arial"/>
        </w:rPr>
        <w:t>.</w:t>
      </w:r>
      <w:r w:rsidR="003E3D05">
        <w:rPr>
          <w:rFonts w:ascii="Arial" w:hAnsi="Arial" w:cs="Arial"/>
        </w:rPr>
        <w:t xml:space="preserve">       </w:t>
      </w:r>
    </w:p>
    <w:p w:rsidR="00EB7F34" w:rsidRDefault="00EB7F34" w:rsidP="00EB7F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За тековниот период</w:t>
      </w:r>
      <w:r w:rsidR="0099427E">
        <w:rPr>
          <w:rFonts w:ascii="Arial" w:hAnsi="Arial" w:cs="Arial"/>
        </w:rPr>
        <w:t xml:space="preserve"> во финансиските приходи  од </w:t>
      </w:r>
      <w:r w:rsidR="00B61CDC">
        <w:rPr>
          <w:rFonts w:ascii="Arial" w:hAnsi="Arial" w:cs="Arial"/>
        </w:rPr>
        <w:t>28.741</w:t>
      </w:r>
      <w:r w:rsidR="0099427E">
        <w:rPr>
          <w:rFonts w:ascii="Arial" w:hAnsi="Arial" w:cs="Arial"/>
        </w:rPr>
        <w:t xml:space="preserve"> илјади ден,</w:t>
      </w:r>
      <w:r>
        <w:rPr>
          <w:rFonts w:ascii="Arial" w:hAnsi="Arial" w:cs="Arial"/>
        </w:rPr>
        <w:t xml:space="preserve"> се евидентирани  приходи од  примени дивиденди</w:t>
      </w:r>
      <w:r w:rsidR="00994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 износ од </w:t>
      </w:r>
      <w:r w:rsidR="00B61CDC">
        <w:rPr>
          <w:rFonts w:ascii="Arial" w:hAnsi="Arial" w:cs="Arial"/>
        </w:rPr>
        <w:t>28.615</w:t>
      </w:r>
      <w:r w:rsidR="00994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илјади</w:t>
      </w:r>
      <w:r w:rsidR="007722CA">
        <w:rPr>
          <w:rFonts w:ascii="Arial" w:hAnsi="Arial" w:cs="Arial"/>
        </w:rPr>
        <w:t xml:space="preserve"> ден,</w:t>
      </w:r>
      <w:r>
        <w:rPr>
          <w:rFonts w:ascii="Arial" w:hAnsi="Arial" w:cs="Arial"/>
        </w:rPr>
        <w:t xml:space="preserve"> додека </w:t>
      </w:r>
      <w:r w:rsidR="0099427E">
        <w:rPr>
          <w:rFonts w:ascii="Arial" w:hAnsi="Arial" w:cs="Arial"/>
        </w:rPr>
        <w:t xml:space="preserve">минатата година  </w:t>
      </w:r>
      <w:r w:rsidR="004C6A5B">
        <w:rPr>
          <w:rFonts w:ascii="Arial" w:hAnsi="Arial" w:cs="Arial"/>
        </w:rPr>
        <w:t>приходи од примени дивиденди</w:t>
      </w:r>
      <w:r w:rsidR="00B61CDC">
        <w:rPr>
          <w:rFonts w:ascii="Arial" w:hAnsi="Arial" w:cs="Arial"/>
        </w:rPr>
        <w:t xml:space="preserve"> изнесуваа 66.471 илјади.</w:t>
      </w:r>
    </w:p>
    <w:p w:rsidR="0099427E" w:rsidRDefault="0099427E" w:rsidP="00EB7F34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Вкупни расходи</w:t>
      </w:r>
    </w:p>
    <w:p w:rsidR="007A092D" w:rsidRPr="007722CA" w:rsidRDefault="007A092D" w:rsidP="00EB7F34">
      <w:pPr>
        <w:pStyle w:val="NoSpacing"/>
        <w:rPr>
          <w:rFonts w:ascii="Arial" w:hAnsi="Arial" w:cs="Arial"/>
        </w:rPr>
      </w:pPr>
    </w:p>
    <w:p w:rsidR="007A092D" w:rsidRDefault="007A092D" w:rsidP="0034744D">
      <w:pPr>
        <w:pStyle w:val="Header"/>
        <w:tabs>
          <w:tab w:val="left" w:pos="720"/>
        </w:tabs>
        <w:ind w:right="283" w:firstLine="720"/>
        <w:rPr>
          <w:rFonts w:ascii="Arial" w:eastAsia="Times New Roman" w:hAnsi="Arial" w:cs="Arial"/>
        </w:rPr>
      </w:pPr>
      <w:r w:rsidRPr="007A092D">
        <w:rPr>
          <w:rFonts w:ascii="Arial" w:eastAsia="Times New Roman" w:hAnsi="Arial" w:cs="Arial"/>
        </w:rPr>
        <w:t xml:space="preserve">Остварените единечни вкупни расходи во периодот </w:t>
      </w:r>
      <w:r w:rsidR="00D06159">
        <w:rPr>
          <w:rFonts w:ascii="Arial" w:eastAsia="Times New Roman" w:hAnsi="Arial" w:cs="Arial"/>
        </w:rPr>
        <w:t>ј</w:t>
      </w:r>
      <w:r w:rsidRPr="007A092D">
        <w:rPr>
          <w:rFonts w:ascii="Arial" w:eastAsia="Times New Roman" w:hAnsi="Arial" w:cs="Arial"/>
        </w:rPr>
        <w:t xml:space="preserve">ануари – </w:t>
      </w:r>
      <w:r w:rsidR="00D06159">
        <w:rPr>
          <w:rFonts w:ascii="Arial" w:eastAsia="Times New Roman" w:hAnsi="Arial" w:cs="Arial"/>
        </w:rPr>
        <w:t>декември</w:t>
      </w:r>
      <w:r w:rsidR="0099427E">
        <w:rPr>
          <w:rFonts w:ascii="Arial" w:eastAsia="Times New Roman" w:hAnsi="Arial" w:cs="Arial"/>
        </w:rPr>
        <w:t xml:space="preserve"> 2022</w:t>
      </w:r>
      <w:r w:rsidRPr="007A092D">
        <w:rPr>
          <w:rFonts w:ascii="Arial" w:eastAsia="Times New Roman" w:hAnsi="Arial" w:cs="Arial"/>
        </w:rPr>
        <w:t xml:space="preserve"> година изнесуваат </w:t>
      </w:r>
      <w:r w:rsidR="00D06159">
        <w:rPr>
          <w:rFonts w:ascii="Arial" w:eastAsia="Times New Roman" w:hAnsi="Arial" w:cs="Arial"/>
        </w:rPr>
        <w:t>74.082</w:t>
      </w:r>
      <w:r w:rsidRPr="007A092D">
        <w:rPr>
          <w:rFonts w:ascii="Arial" w:eastAsia="Times New Roman" w:hAnsi="Arial" w:cs="Arial"/>
        </w:rPr>
        <w:t xml:space="preserve"> илјади денари и во споредба со истиот период во 20</w:t>
      </w:r>
      <w:r w:rsidRPr="007722CA">
        <w:rPr>
          <w:rFonts w:ascii="Arial" w:eastAsia="Times New Roman" w:hAnsi="Arial" w:cs="Arial"/>
        </w:rPr>
        <w:t>2</w:t>
      </w:r>
      <w:r w:rsidR="0099427E">
        <w:rPr>
          <w:rFonts w:ascii="Arial" w:eastAsia="Times New Roman" w:hAnsi="Arial" w:cs="Arial"/>
        </w:rPr>
        <w:t>1</w:t>
      </w:r>
      <w:r w:rsidRPr="007A092D">
        <w:rPr>
          <w:rFonts w:ascii="Arial" w:eastAsia="Times New Roman" w:hAnsi="Arial" w:cs="Arial"/>
        </w:rPr>
        <w:t xml:space="preserve"> година</w:t>
      </w:r>
      <w:r w:rsidR="0099427E">
        <w:rPr>
          <w:rFonts w:ascii="Arial" w:eastAsia="Times New Roman" w:hAnsi="Arial" w:cs="Arial"/>
        </w:rPr>
        <w:t xml:space="preserve">, кога изнесувале </w:t>
      </w:r>
      <w:r w:rsidR="00D06159">
        <w:rPr>
          <w:rFonts w:ascii="Arial" w:eastAsia="Times New Roman" w:hAnsi="Arial" w:cs="Arial"/>
        </w:rPr>
        <w:t>58.055</w:t>
      </w:r>
      <w:r w:rsidR="0099427E">
        <w:rPr>
          <w:rFonts w:ascii="Arial" w:eastAsia="Times New Roman" w:hAnsi="Arial" w:cs="Arial"/>
        </w:rPr>
        <w:t xml:space="preserve"> илјади ден,</w:t>
      </w:r>
      <w:r w:rsidRPr="007A092D">
        <w:rPr>
          <w:rFonts w:ascii="Arial" w:eastAsia="Times New Roman" w:hAnsi="Arial" w:cs="Arial"/>
        </w:rPr>
        <w:t xml:space="preserve"> бележат </w:t>
      </w:r>
      <w:r w:rsidR="0099427E">
        <w:rPr>
          <w:rFonts w:ascii="Arial" w:eastAsia="Times New Roman" w:hAnsi="Arial" w:cs="Arial"/>
        </w:rPr>
        <w:t xml:space="preserve">зголемување </w:t>
      </w:r>
      <w:r w:rsidRPr="007A092D">
        <w:rPr>
          <w:rFonts w:ascii="Arial" w:eastAsia="Times New Roman" w:hAnsi="Arial" w:cs="Arial"/>
        </w:rPr>
        <w:t xml:space="preserve"> за</w:t>
      </w:r>
      <w:r w:rsidR="00D06159">
        <w:rPr>
          <w:rFonts w:ascii="Arial" w:eastAsia="Times New Roman" w:hAnsi="Arial" w:cs="Arial"/>
        </w:rPr>
        <w:t xml:space="preserve"> 28</w:t>
      </w:r>
      <w:r w:rsidRPr="007722CA">
        <w:rPr>
          <w:rFonts w:ascii="Arial" w:eastAsia="Times New Roman" w:hAnsi="Arial" w:cs="Arial"/>
        </w:rPr>
        <w:t xml:space="preserve"> </w:t>
      </w:r>
      <w:r w:rsidRPr="007A092D">
        <w:rPr>
          <w:rFonts w:ascii="Arial" w:eastAsia="Times New Roman" w:hAnsi="Arial" w:cs="Arial"/>
        </w:rPr>
        <w:t>%.</w:t>
      </w:r>
    </w:p>
    <w:p w:rsidR="007A19E4" w:rsidRPr="007A092D" w:rsidRDefault="007A19E4" w:rsidP="007A092D">
      <w:pPr>
        <w:pStyle w:val="Header"/>
        <w:tabs>
          <w:tab w:val="left" w:pos="720"/>
        </w:tabs>
        <w:ind w:firstLine="720"/>
        <w:rPr>
          <w:rFonts w:ascii="Arial" w:eastAsia="Times New Roman" w:hAnsi="Arial" w:cs="Arial"/>
        </w:rPr>
      </w:pPr>
    </w:p>
    <w:p w:rsidR="007A19E4" w:rsidRDefault="007A19E4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Дивиденда</w:t>
      </w:r>
    </w:p>
    <w:p w:rsidR="00CA445B" w:rsidRPr="00547599" w:rsidRDefault="00CA445B" w:rsidP="007A19E4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:rsidR="0034744D" w:rsidRDefault="0034744D" w:rsidP="006936D5">
      <w:pPr>
        <w:spacing w:after="0" w:line="240" w:lineRule="auto"/>
        <w:ind w:left="-142" w:right="-142" w:firstLine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7A19E4" w:rsidRPr="00CA445B">
        <w:rPr>
          <w:rFonts w:ascii="Arial" w:eastAsia="Times New Roman" w:hAnsi="Arial" w:cs="Arial"/>
        </w:rPr>
        <w:t>Н</w:t>
      </w:r>
      <w:r w:rsidR="007A19E4" w:rsidRPr="007722CA">
        <w:rPr>
          <w:rFonts w:ascii="Arial" w:eastAsia="Times New Roman" w:hAnsi="Arial" w:cs="Arial"/>
        </w:rPr>
        <w:t>a</w:t>
      </w:r>
      <w:r w:rsidR="006936D5">
        <w:rPr>
          <w:rFonts w:ascii="Arial" w:eastAsia="Times New Roman" w:hAnsi="Arial" w:cs="Arial"/>
        </w:rPr>
        <w:t xml:space="preserve"> 30.03</w:t>
      </w:r>
      <w:r w:rsidR="007A19E4" w:rsidRPr="00CA445B">
        <w:rPr>
          <w:rFonts w:ascii="Arial" w:eastAsia="Times New Roman" w:hAnsi="Arial" w:cs="Arial"/>
        </w:rPr>
        <w:t>.202</w:t>
      </w:r>
      <w:r w:rsidR="0099427E">
        <w:rPr>
          <w:rFonts w:ascii="Arial" w:eastAsia="Times New Roman" w:hAnsi="Arial" w:cs="Arial"/>
        </w:rPr>
        <w:t>2</w:t>
      </w:r>
      <w:r w:rsidR="007A19E4" w:rsidRPr="00CA445B">
        <w:rPr>
          <w:rFonts w:ascii="Arial" w:eastAsia="Times New Roman" w:hAnsi="Arial" w:cs="Arial"/>
        </w:rPr>
        <w:t>год.</w:t>
      </w:r>
      <w:r w:rsidR="007A19E4" w:rsidRPr="007722CA">
        <w:rPr>
          <w:rFonts w:ascii="Arial" w:eastAsia="Times New Roman" w:hAnsi="Arial" w:cs="Arial"/>
        </w:rPr>
        <w:t xml:space="preserve"> </w:t>
      </w:r>
      <w:r w:rsidR="007A19E4" w:rsidRPr="00547599">
        <w:rPr>
          <w:rFonts w:ascii="Arial" w:eastAsia="Times New Roman" w:hAnsi="Arial" w:cs="Arial"/>
        </w:rPr>
        <w:t>е одржано Годишното Собрание на акционери на кое се одлуч</w:t>
      </w:r>
      <w:r w:rsidR="00CA445B" w:rsidRPr="00CA445B">
        <w:rPr>
          <w:rFonts w:ascii="Arial" w:eastAsia="Times New Roman" w:hAnsi="Arial" w:cs="Arial"/>
        </w:rPr>
        <w:t>и</w:t>
      </w:r>
    </w:p>
    <w:p w:rsidR="0034744D" w:rsidRDefault="007A19E4" w:rsidP="006936D5">
      <w:pPr>
        <w:spacing w:after="0" w:line="240" w:lineRule="auto"/>
        <w:ind w:left="-142" w:right="-142" w:firstLine="142"/>
        <w:jc w:val="both"/>
        <w:rPr>
          <w:rFonts w:ascii="Arial" w:eastAsia="Times New Roman" w:hAnsi="Arial" w:cs="Arial"/>
        </w:rPr>
      </w:pPr>
      <w:r w:rsidRPr="00547599">
        <w:rPr>
          <w:rFonts w:ascii="Arial" w:eastAsia="Times New Roman" w:hAnsi="Arial" w:cs="Arial"/>
        </w:rPr>
        <w:t>за распределба</w:t>
      </w:r>
      <w:r w:rsidR="0034744D">
        <w:rPr>
          <w:rFonts w:ascii="Arial" w:eastAsia="Times New Roman" w:hAnsi="Arial" w:cs="Arial"/>
        </w:rPr>
        <w:t xml:space="preserve"> </w:t>
      </w:r>
      <w:r w:rsidRPr="00547599">
        <w:rPr>
          <w:rFonts w:ascii="Arial" w:eastAsia="Times New Roman" w:hAnsi="Arial" w:cs="Arial"/>
        </w:rPr>
        <w:t>на дивиденда</w:t>
      </w:r>
      <w:r w:rsidR="00CA445B" w:rsidRPr="00CA445B">
        <w:rPr>
          <w:rFonts w:ascii="Arial" w:eastAsia="Times New Roman" w:hAnsi="Arial" w:cs="Arial"/>
        </w:rPr>
        <w:t>.</w:t>
      </w:r>
      <w:r w:rsidR="0034744D">
        <w:rPr>
          <w:rFonts w:ascii="Arial" w:eastAsia="Times New Roman" w:hAnsi="Arial" w:cs="Arial"/>
        </w:rPr>
        <w:t xml:space="preserve"> Дивидендата по акција изнесуваше 110 ден,односно </w:t>
      </w:r>
    </w:p>
    <w:p w:rsidR="007A19E4" w:rsidRPr="00547599" w:rsidRDefault="0034744D" w:rsidP="006936D5">
      <w:pPr>
        <w:spacing w:after="0" w:line="240" w:lineRule="auto"/>
        <w:ind w:left="-142" w:right="-142" w:firstLine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вкупно 45.559</w:t>
      </w:r>
      <w:r w:rsidR="00A62F7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</w:t>
      </w:r>
      <w:r w:rsidR="00A62F7B">
        <w:rPr>
          <w:rFonts w:ascii="Arial" w:eastAsia="Times New Roman" w:hAnsi="Arial" w:cs="Arial"/>
        </w:rPr>
        <w:t>ј</w:t>
      </w:r>
      <w:r>
        <w:rPr>
          <w:rFonts w:ascii="Arial" w:eastAsia="Times New Roman" w:hAnsi="Arial" w:cs="Arial"/>
        </w:rPr>
        <w:t>ади денари.</w:t>
      </w:r>
      <w:r w:rsidR="007A19E4" w:rsidRPr="00547599">
        <w:rPr>
          <w:rFonts w:ascii="Arial" w:eastAsia="Times New Roman" w:hAnsi="Arial" w:cs="Arial"/>
        </w:rPr>
        <w:t xml:space="preserve"> </w:t>
      </w:r>
      <w:r w:rsidR="00651848">
        <w:rPr>
          <w:rFonts w:ascii="Arial" w:eastAsia="Times New Roman" w:hAnsi="Arial" w:cs="Arial"/>
        </w:rPr>
        <w:t>Истата  се исплати во законски предвидениот рок.</w:t>
      </w:r>
    </w:p>
    <w:p w:rsidR="007A19E4" w:rsidRPr="00547599" w:rsidRDefault="007A19E4" w:rsidP="007A19E4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:rsidR="00D13D7F" w:rsidRPr="006936D5" w:rsidRDefault="007722CA" w:rsidP="00617F3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</w:t>
      </w:r>
      <w:r w:rsidR="006936D5" w:rsidRPr="006936D5">
        <w:rPr>
          <w:rFonts w:ascii="Arial" w:hAnsi="Arial" w:cs="Arial"/>
          <w:b/>
        </w:rPr>
        <w:t>нвестиции</w:t>
      </w:r>
    </w:p>
    <w:p w:rsidR="00836BCA" w:rsidRDefault="00836BCA" w:rsidP="00207A2E">
      <w:pPr>
        <w:pStyle w:val="NoSpacing"/>
        <w:jc w:val="both"/>
        <w:rPr>
          <w:rFonts w:ascii="Arial" w:hAnsi="Arial" w:cs="Arial"/>
        </w:rPr>
      </w:pPr>
    </w:p>
    <w:p w:rsidR="00CA445B" w:rsidRDefault="003E3D05" w:rsidP="00207A2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341C">
        <w:rPr>
          <w:rFonts w:ascii="Arial" w:hAnsi="Arial" w:cs="Arial"/>
        </w:rPr>
        <w:t xml:space="preserve">Во периодот </w:t>
      </w:r>
      <w:r w:rsidR="00D06159">
        <w:rPr>
          <w:rFonts w:ascii="Arial" w:hAnsi="Arial" w:cs="Arial"/>
        </w:rPr>
        <w:t>е инвестирано во  набавки на градежи и опрема во износ од 7.734 илјади денари.</w:t>
      </w:r>
    </w:p>
    <w:p w:rsidR="00D13D7F" w:rsidRDefault="00D5341C" w:rsidP="00207A2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E3D05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Обврски по кредити</w:t>
      </w:r>
    </w:p>
    <w:p w:rsidR="006936D5" w:rsidRPr="00CA445B" w:rsidRDefault="006936D5" w:rsidP="007722CA">
      <w:pPr>
        <w:tabs>
          <w:tab w:val="left" w:pos="720"/>
          <w:tab w:val="center" w:pos="4153"/>
          <w:tab w:val="right" w:pos="8306"/>
        </w:tabs>
        <w:spacing w:after="0" w:line="240" w:lineRule="auto"/>
        <w:ind w:right="253"/>
        <w:rPr>
          <w:rFonts w:ascii="Arial" w:eastAsia="Times New Roman" w:hAnsi="Arial" w:cs="Arial"/>
          <w:lang w:eastAsia="mk-MK"/>
        </w:rPr>
      </w:pPr>
    </w:p>
    <w:p w:rsidR="0034744D" w:rsidRPr="0034744D" w:rsidRDefault="003E3D05" w:rsidP="0034744D">
      <w:pPr>
        <w:pStyle w:val="NoSpacing"/>
        <w:rPr>
          <w:rFonts w:ascii="Arial" w:hAnsi="Arial" w:cs="Arial"/>
          <w:lang w:eastAsia="mk-MK"/>
        </w:rPr>
      </w:pPr>
      <w:r w:rsidRPr="0034744D">
        <w:rPr>
          <w:rFonts w:ascii="Arial" w:hAnsi="Arial" w:cs="Arial"/>
          <w:lang w:eastAsia="mk-MK"/>
        </w:rPr>
        <w:t xml:space="preserve">       </w:t>
      </w:r>
      <w:r w:rsidR="00D06159" w:rsidRPr="0034744D">
        <w:rPr>
          <w:rFonts w:ascii="Arial" w:hAnsi="Arial" w:cs="Arial"/>
          <w:lang w:eastAsia="mk-MK"/>
        </w:rPr>
        <w:t xml:space="preserve">На </w:t>
      </w:r>
      <w:r w:rsidRPr="0034744D">
        <w:rPr>
          <w:rFonts w:ascii="Arial" w:hAnsi="Arial" w:cs="Arial"/>
          <w:lang w:eastAsia="mk-MK"/>
        </w:rPr>
        <w:t xml:space="preserve"> 3</w:t>
      </w:r>
      <w:r w:rsidR="00651848" w:rsidRPr="0034744D">
        <w:rPr>
          <w:rFonts w:ascii="Arial" w:hAnsi="Arial" w:cs="Arial"/>
          <w:lang w:eastAsia="mk-MK"/>
        </w:rPr>
        <w:t>1</w:t>
      </w:r>
      <w:r w:rsidRPr="0034744D">
        <w:rPr>
          <w:rFonts w:ascii="Arial" w:hAnsi="Arial" w:cs="Arial"/>
          <w:lang w:eastAsia="mk-MK"/>
        </w:rPr>
        <w:t>.</w:t>
      </w:r>
      <w:r w:rsidR="00D06159" w:rsidRPr="0034744D">
        <w:rPr>
          <w:rFonts w:ascii="Arial" w:hAnsi="Arial" w:cs="Arial"/>
          <w:lang w:eastAsia="mk-MK"/>
        </w:rPr>
        <w:t>12</w:t>
      </w:r>
      <w:r w:rsidRPr="0034744D">
        <w:rPr>
          <w:rFonts w:ascii="Arial" w:hAnsi="Arial" w:cs="Arial"/>
          <w:lang w:eastAsia="mk-MK"/>
        </w:rPr>
        <w:t>.202</w:t>
      </w:r>
      <w:r w:rsidR="00651848" w:rsidRPr="0034744D">
        <w:rPr>
          <w:rFonts w:ascii="Arial" w:hAnsi="Arial" w:cs="Arial"/>
          <w:lang w:eastAsia="mk-MK"/>
        </w:rPr>
        <w:t>2</w:t>
      </w:r>
      <w:r w:rsidR="007722CA">
        <w:rPr>
          <w:rFonts w:ascii="Arial" w:hAnsi="Arial" w:cs="Arial"/>
          <w:lang w:eastAsia="mk-MK"/>
        </w:rPr>
        <w:t xml:space="preserve"> </w:t>
      </w:r>
      <w:r w:rsidRPr="0034744D">
        <w:rPr>
          <w:rFonts w:ascii="Arial" w:hAnsi="Arial" w:cs="Arial"/>
          <w:lang w:eastAsia="mk-MK"/>
        </w:rPr>
        <w:t>год.  задолжувања</w:t>
      </w:r>
      <w:r w:rsidR="007722CA">
        <w:rPr>
          <w:rFonts w:ascii="Arial" w:hAnsi="Arial" w:cs="Arial"/>
          <w:lang w:eastAsia="mk-MK"/>
        </w:rPr>
        <w:t>та</w:t>
      </w:r>
      <w:r w:rsidRPr="0034744D">
        <w:rPr>
          <w:rFonts w:ascii="Arial" w:hAnsi="Arial" w:cs="Arial"/>
          <w:lang w:eastAsia="mk-MK"/>
        </w:rPr>
        <w:t xml:space="preserve"> по </w:t>
      </w:r>
      <w:r w:rsidR="00D06159" w:rsidRPr="0034744D">
        <w:rPr>
          <w:rFonts w:ascii="Arial" w:hAnsi="Arial" w:cs="Arial"/>
          <w:lang w:eastAsia="mk-MK"/>
        </w:rPr>
        <w:t>краткорочни заеми и кредити</w:t>
      </w:r>
      <w:r w:rsidR="00DE34B7" w:rsidRPr="0034744D">
        <w:rPr>
          <w:rFonts w:ascii="Arial" w:hAnsi="Arial" w:cs="Arial"/>
          <w:lang w:eastAsia="mk-MK"/>
        </w:rPr>
        <w:t xml:space="preserve"> изнесуваат </w:t>
      </w:r>
    </w:p>
    <w:p w:rsidR="003E3D05" w:rsidRDefault="00DE34B7" w:rsidP="0034744D">
      <w:pPr>
        <w:pStyle w:val="NoSpacing"/>
        <w:rPr>
          <w:rFonts w:ascii="Arial" w:hAnsi="Arial" w:cs="Arial"/>
          <w:lang w:eastAsia="mk-MK"/>
        </w:rPr>
      </w:pPr>
      <w:r w:rsidRPr="0034744D">
        <w:rPr>
          <w:rFonts w:ascii="Arial" w:hAnsi="Arial" w:cs="Arial"/>
          <w:lang w:eastAsia="mk-MK"/>
        </w:rPr>
        <w:t>70.617 илјади денари.</w:t>
      </w:r>
      <w:r w:rsidR="00506B50" w:rsidRPr="0034744D">
        <w:rPr>
          <w:rFonts w:ascii="Arial" w:hAnsi="Arial" w:cs="Arial"/>
          <w:lang w:eastAsia="mk-MK"/>
        </w:rPr>
        <w:t xml:space="preserve"> </w:t>
      </w:r>
    </w:p>
    <w:p w:rsidR="00A62F7B" w:rsidRPr="0034744D" w:rsidRDefault="00A62F7B" w:rsidP="0034744D">
      <w:pPr>
        <w:pStyle w:val="NoSpacing"/>
        <w:rPr>
          <w:rFonts w:ascii="Arial" w:hAnsi="Arial" w:cs="Arial"/>
          <w:lang w:eastAsia="mk-MK"/>
        </w:rPr>
      </w:pPr>
    </w:p>
    <w:p w:rsidR="00547599" w:rsidRPr="00CA445B" w:rsidRDefault="00547599" w:rsidP="006936D5">
      <w:pPr>
        <w:pStyle w:val="Header"/>
        <w:tabs>
          <w:tab w:val="left" w:pos="720"/>
        </w:tabs>
        <w:rPr>
          <w:rFonts w:ascii="Arial" w:eastAsia="Times New Roman" w:hAnsi="Arial" w:cs="Arial"/>
          <w:b/>
        </w:rPr>
      </w:pPr>
      <w:r w:rsidRPr="00CA445B">
        <w:rPr>
          <w:rFonts w:ascii="Arial" w:eastAsia="Times New Roman" w:hAnsi="Arial" w:cs="Arial"/>
          <w:b/>
        </w:rPr>
        <w:t>Финасиски резултат</w:t>
      </w:r>
    </w:p>
    <w:p w:rsidR="00547599" w:rsidRDefault="00547599" w:rsidP="00547599">
      <w:pPr>
        <w:pStyle w:val="NoSpacing"/>
        <w:rPr>
          <w:rFonts w:ascii="Arial" w:hAnsi="Arial" w:cs="Arial"/>
        </w:rPr>
      </w:pPr>
    </w:p>
    <w:p w:rsidR="00AB77D3" w:rsidRDefault="00547599" w:rsidP="005475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8287C">
        <w:rPr>
          <w:rFonts w:ascii="Arial" w:hAnsi="Arial" w:cs="Arial"/>
        </w:rPr>
        <w:t xml:space="preserve">Остварената добивка </w:t>
      </w:r>
      <w:r>
        <w:rPr>
          <w:rFonts w:ascii="Arial" w:hAnsi="Arial" w:cs="Arial"/>
        </w:rPr>
        <w:t xml:space="preserve"> </w:t>
      </w:r>
      <w:r w:rsidR="0068287C">
        <w:rPr>
          <w:rFonts w:ascii="Arial" w:hAnsi="Arial" w:cs="Arial"/>
        </w:rPr>
        <w:t>з</w:t>
      </w:r>
      <w:r>
        <w:rPr>
          <w:rFonts w:ascii="Arial" w:hAnsi="Arial" w:cs="Arial"/>
        </w:rPr>
        <w:t>а периодот</w:t>
      </w:r>
      <w:r w:rsidR="00DE34B7">
        <w:rPr>
          <w:rFonts w:ascii="Arial" w:hAnsi="Arial" w:cs="Arial"/>
        </w:rPr>
        <w:t xml:space="preserve"> пред оданочување </w:t>
      </w:r>
      <w:r>
        <w:rPr>
          <w:rFonts w:ascii="Arial" w:hAnsi="Arial" w:cs="Arial"/>
        </w:rPr>
        <w:t xml:space="preserve"> изнесува </w:t>
      </w:r>
      <w:r w:rsidR="00AB77D3">
        <w:rPr>
          <w:rFonts w:ascii="Arial" w:hAnsi="Arial" w:cs="Arial"/>
        </w:rPr>
        <w:t>72.822</w:t>
      </w:r>
      <w:r>
        <w:rPr>
          <w:rFonts w:ascii="Arial" w:hAnsi="Arial" w:cs="Arial"/>
        </w:rPr>
        <w:t xml:space="preserve"> илјади</w:t>
      </w:r>
      <w:r w:rsidR="007722CA">
        <w:rPr>
          <w:rFonts w:ascii="Arial" w:hAnsi="Arial" w:cs="Arial"/>
        </w:rPr>
        <w:t xml:space="preserve"> ден</w:t>
      </w:r>
      <w:r>
        <w:rPr>
          <w:rFonts w:ascii="Arial" w:hAnsi="Arial" w:cs="Arial"/>
        </w:rPr>
        <w:t xml:space="preserve">, </w:t>
      </w:r>
    </w:p>
    <w:p w:rsidR="00547599" w:rsidRDefault="00AB77D3" w:rsidP="005475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а  добивката по оданочување изнесува 67.919 илјади</w:t>
      </w:r>
      <w:r w:rsidR="007722CA">
        <w:rPr>
          <w:rFonts w:ascii="Arial" w:hAnsi="Arial" w:cs="Arial"/>
        </w:rPr>
        <w:t xml:space="preserve"> ден</w:t>
      </w:r>
      <w:r w:rsidR="0068287C">
        <w:rPr>
          <w:rFonts w:ascii="Arial" w:hAnsi="Arial" w:cs="Arial"/>
        </w:rPr>
        <w:t>.</w:t>
      </w:r>
    </w:p>
    <w:p w:rsidR="00A62F7B" w:rsidRDefault="00A62F7B" w:rsidP="00547599">
      <w:pPr>
        <w:pStyle w:val="NoSpacing"/>
        <w:rPr>
          <w:rFonts w:ascii="Arial" w:hAnsi="Arial" w:cs="Arial"/>
        </w:rPr>
      </w:pPr>
    </w:p>
    <w:p w:rsidR="00A62F7B" w:rsidRDefault="00A62F7B" w:rsidP="00547599">
      <w:pPr>
        <w:pStyle w:val="NoSpacing"/>
        <w:rPr>
          <w:rFonts w:ascii="Arial" w:hAnsi="Arial" w:cs="Arial"/>
        </w:rPr>
      </w:pPr>
    </w:p>
    <w:p w:rsidR="00A62F7B" w:rsidRDefault="00A62F7B" w:rsidP="00547599">
      <w:pPr>
        <w:pStyle w:val="NoSpacing"/>
        <w:rPr>
          <w:rFonts w:ascii="Arial" w:hAnsi="Arial" w:cs="Arial"/>
        </w:rPr>
      </w:pPr>
    </w:p>
    <w:p w:rsidR="006936D5" w:rsidRDefault="006936D5" w:rsidP="00547599">
      <w:pPr>
        <w:pStyle w:val="NoSpacing"/>
        <w:rPr>
          <w:rFonts w:ascii="Arial" w:hAnsi="Arial" w:cs="Arial"/>
        </w:rPr>
      </w:pPr>
    </w:p>
    <w:p w:rsidR="007722CA" w:rsidRDefault="006936D5" w:rsidP="004C6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054960" w:rsidRPr="006936D5" w:rsidRDefault="007722CA" w:rsidP="004C6A5B">
      <w:pPr>
        <w:jc w:val="both"/>
        <w:rPr>
          <w:rFonts w:ascii="Arial" w:hAnsi="Arial" w:cs="Arial"/>
          <w:b/>
        </w:rPr>
      </w:pPr>
      <w:r w:rsidRPr="007722CA">
        <w:rPr>
          <w:rFonts w:ascii="Arial" w:hAnsi="Arial" w:cs="Arial"/>
          <w:b/>
        </w:rPr>
        <w:t>П</w:t>
      </w:r>
      <w:r w:rsidR="006936D5" w:rsidRPr="006936D5">
        <w:rPr>
          <w:rFonts w:ascii="Arial" w:hAnsi="Arial" w:cs="Arial"/>
          <w:b/>
        </w:rPr>
        <w:t>ланови</w:t>
      </w:r>
      <w:r w:rsidR="006936D5">
        <w:rPr>
          <w:rFonts w:ascii="Arial" w:hAnsi="Arial" w:cs="Arial"/>
          <w:b/>
        </w:rPr>
        <w:t>-очекувања</w:t>
      </w:r>
    </w:p>
    <w:p w:rsidR="00C0363D" w:rsidRDefault="004C6A5B" w:rsidP="007722CA">
      <w:pPr>
        <w:tabs>
          <w:tab w:val="left" w:pos="9072"/>
        </w:tabs>
        <w:ind w:right="53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E3D05" w:rsidRPr="00C7664F">
        <w:rPr>
          <w:rFonts w:ascii="Arial" w:hAnsi="Arial" w:cs="Arial"/>
        </w:rPr>
        <w:t>Напорите на менаџментот на ТЕТЕКС АД</w:t>
      </w:r>
      <w:r w:rsidR="003E3D05">
        <w:rPr>
          <w:rFonts w:ascii="Arial" w:hAnsi="Arial" w:cs="Arial"/>
        </w:rPr>
        <w:t>,</w:t>
      </w:r>
      <w:r w:rsidR="007722CA">
        <w:rPr>
          <w:rFonts w:ascii="Arial" w:hAnsi="Arial" w:cs="Arial"/>
        </w:rPr>
        <w:t xml:space="preserve"> </w:t>
      </w:r>
      <w:r w:rsidR="003E3D05">
        <w:rPr>
          <w:rFonts w:ascii="Arial" w:hAnsi="Arial" w:cs="Arial"/>
        </w:rPr>
        <w:t xml:space="preserve">во  постоечките  услови на работа, се насочени кон менаџирање на постоечките расположиви капацитети на недвижен и движен имот, како и залихите на материјали, производи и стоки, за да се оствари приход  и </w:t>
      </w:r>
      <w:r w:rsidR="007722CA">
        <w:rPr>
          <w:rFonts w:ascii="Arial" w:hAnsi="Arial" w:cs="Arial"/>
        </w:rPr>
        <w:t xml:space="preserve">задоволителен </w:t>
      </w:r>
      <w:r w:rsidR="003E3D05">
        <w:rPr>
          <w:rFonts w:ascii="Arial" w:hAnsi="Arial" w:cs="Arial"/>
        </w:rPr>
        <w:t>позитивен резултат од работењето</w:t>
      </w:r>
      <w:r w:rsidR="00AB77D3">
        <w:rPr>
          <w:rFonts w:ascii="Arial" w:hAnsi="Arial" w:cs="Arial"/>
        </w:rPr>
        <w:t xml:space="preserve">. </w:t>
      </w:r>
    </w:p>
    <w:p w:rsidR="00AB77D3" w:rsidRPr="007722CA" w:rsidRDefault="00AB77D3" w:rsidP="00AB77D3">
      <w:pPr>
        <w:tabs>
          <w:tab w:val="left" w:pos="9072"/>
        </w:tabs>
        <w:ind w:right="142"/>
        <w:rPr>
          <w:rFonts w:ascii="Arial" w:hAnsi="Arial" w:cs="Arial"/>
        </w:rPr>
      </w:pPr>
      <w:r>
        <w:rPr>
          <w:rFonts w:ascii="Arial" w:hAnsi="Arial" w:cs="Arial"/>
        </w:rPr>
        <w:t>За периодот 01.01-31.12.2022</w:t>
      </w:r>
      <w:r w:rsidR="00772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год. ТЕТЕКС АД поднесува и консолидирани финансиски извештаи. Во консолидацијата е вклучен Петролгас </w:t>
      </w:r>
      <w:r w:rsidR="0034744D">
        <w:rPr>
          <w:rFonts w:ascii="Arial" w:hAnsi="Arial" w:cs="Arial"/>
        </w:rPr>
        <w:t>ДООЕЛ</w:t>
      </w:r>
      <w:r w:rsidR="00D317B4">
        <w:rPr>
          <w:rFonts w:ascii="Arial" w:hAnsi="Arial" w:cs="Arial"/>
        </w:rPr>
        <w:t xml:space="preserve">, како и </w:t>
      </w:r>
      <w:r>
        <w:rPr>
          <w:rFonts w:ascii="Arial" w:hAnsi="Arial" w:cs="Arial"/>
        </w:rPr>
        <w:t xml:space="preserve"> ТТК банка, по методот на основна главнина. </w:t>
      </w:r>
      <w:bookmarkStart w:id="0" w:name="_GoBack"/>
      <w:bookmarkEnd w:id="0"/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14"/>
        <w:gridCol w:w="604"/>
        <w:gridCol w:w="222"/>
        <w:gridCol w:w="481"/>
      </w:tblGrid>
      <w:tr w:rsidR="00744DC6" w:rsidRPr="00C7664F" w:rsidTr="00D754E0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05" w:rsidRDefault="00B30957" w:rsidP="003E3D0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5B40BE" w:rsidRPr="00C7664F" w:rsidRDefault="005B40BE" w:rsidP="005B40B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5C687B" w:rsidRPr="00C7664F" w:rsidRDefault="000F48DD" w:rsidP="005C687B">
            <w:pPr>
              <w:pStyle w:val="NoSpacing"/>
              <w:ind w:left="-93"/>
              <w:jc w:val="both"/>
              <w:rPr>
                <w:rFonts w:ascii="Arial" w:eastAsia="Times New Roman" w:hAnsi="Arial" w:cs="Arial"/>
              </w:rPr>
            </w:pPr>
            <w:r w:rsidRPr="00C7664F">
              <w:rPr>
                <w:rFonts w:ascii="Arial" w:hAnsi="Arial" w:cs="Arial"/>
              </w:rPr>
              <w:t xml:space="preserve"> </w:t>
            </w:r>
          </w:p>
          <w:p w:rsidR="000F48DD" w:rsidRPr="00C7664F" w:rsidRDefault="000F48DD" w:rsidP="009F0F7B">
            <w:pPr>
              <w:pStyle w:val="NoSpacing"/>
              <w:ind w:left="-93"/>
              <w:jc w:val="both"/>
              <w:rPr>
                <w:rFonts w:ascii="Arial" w:eastAsia="Times New Roman" w:hAnsi="Arial" w:cs="Arial"/>
              </w:rPr>
            </w:pPr>
          </w:p>
        </w:tc>
      </w:tr>
      <w:tr w:rsidR="00744DC6" w:rsidRPr="00C7664F" w:rsidTr="00207A2E">
        <w:trPr>
          <w:gridAfter w:val="3"/>
          <w:wAfter w:w="1307" w:type="dxa"/>
          <w:trHeight w:val="315"/>
        </w:trPr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207A2E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C6" w:rsidRPr="00C7664F" w:rsidTr="00207A2E">
        <w:trPr>
          <w:gridAfter w:val="1"/>
          <w:wAfter w:w="481" w:type="dxa"/>
          <w:trHeight w:val="31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207A2E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C6" w:rsidRPr="00C7664F" w:rsidTr="00207A2E">
        <w:trPr>
          <w:gridAfter w:val="1"/>
          <w:wAfter w:w="481" w:type="dxa"/>
          <w:trHeight w:val="31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AA561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C6" w:rsidRPr="00C7664F" w:rsidTr="00207A2E">
        <w:trPr>
          <w:gridAfter w:val="1"/>
          <w:wAfter w:w="481" w:type="dxa"/>
          <w:trHeight w:val="31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207A2E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C6" w:rsidRPr="00AA5614" w:rsidTr="00207A2E">
        <w:trPr>
          <w:gridAfter w:val="1"/>
          <w:wAfter w:w="481" w:type="dxa"/>
          <w:trHeight w:val="31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207A2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C6" w:rsidRPr="00744DC6" w:rsidTr="00207A2E">
        <w:trPr>
          <w:gridAfter w:val="1"/>
          <w:wAfter w:w="481" w:type="dxa"/>
          <w:trHeight w:val="315"/>
        </w:trPr>
        <w:tc>
          <w:tcPr>
            <w:tcW w:w="9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DC6" w:rsidRPr="007722CA" w:rsidRDefault="00744DC6" w:rsidP="00207A2E">
            <w:pPr>
              <w:pStyle w:val="NoSpacing"/>
              <w:rPr>
                <w:rFonts w:ascii="MAC C Times" w:eastAsia="Times New Roman" w:hAnsi="MAC C Times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DC6" w:rsidRPr="007722CA" w:rsidRDefault="00744DC6" w:rsidP="00207A2E">
            <w:pPr>
              <w:pStyle w:val="NoSpacing"/>
              <w:rPr>
                <w:rFonts w:ascii="MAC C Times" w:eastAsia="Times New Roman" w:hAnsi="MAC C Times" w:cs="Times New Roman"/>
                <w:sz w:val="24"/>
                <w:szCs w:val="24"/>
              </w:rPr>
            </w:pPr>
          </w:p>
        </w:tc>
      </w:tr>
    </w:tbl>
    <w:p w:rsidR="002850E0" w:rsidRPr="00670560" w:rsidRDefault="002850E0" w:rsidP="00207A2E">
      <w:pPr>
        <w:pStyle w:val="NoSpacing"/>
      </w:pPr>
    </w:p>
    <w:p w:rsidR="008E0206" w:rsidRPr="007722CA" w:rsidRDefault="008E0206" w:rsidP="00207A2E">
      <w:pPr>
        <w:pStyle w:val="NoSpacing"/>
        <w:rPr>
          <w:sz w:val="24"/>
          <w:szCs w:val="24"/>
        </w:rPr>
      </w:pPr>
    </w:p>
    <w:p w:rsidR="00BA3030" w:rsidRDefault="00BA3030">
      <w:pPr>
        <w:rPr>
          <w:rFonts w:ascii="Arial" w:hAnsi="Arial" w:cs="Arial"/>
          <w:sz w:val="24"/>
          <w:szCs w:val="24"/>
        </w:rPr>
      </w:pPr>
    </w:p>
    <w:p w:rsidR="00435A4D" w:rsidRDefault="00435A4D">
      <w:pPr>
        <w:rPr>
          <w:rFonts w:ascii="Arial" w:hAnsi="Arial" w:cs="Arial"/>
          <w:sz w:val="24"/>
          <w:szCs w:val="24"/>
        </w:rPr>
      </w:pPr>
    </w:p>
    <w:p w:rsidR="00C91AAB" w:rsidRDefault="002E2E6B" w:rsidP="00047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1AAB" w:rsidRPr="00C244F2" w:rsidRDefault="00C91AAB">
      <w:pPr>
        <w:rPr>
          <w:rFonts w:ascii="Arial" w:hAnsi="Arial" w:cs="Arial"/>
        </w:rPr>
      </w:pPr>
    </w:p>
    <w:sectPr w:rsidR="00C91AAB" w:rsidRPr="00C244F2" w:rsidSect="007722CA">
      <w:pgSz w:w="11906" w:h="16838"/>
      <w:pgMar w:top="680" w:right="566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4F2"/>
    <w:rsid w:val="00047A8C"/>
    <w:rsid w:val="00054960"/>
    <w:rsid w:val="00092BA6"/>
    <w:rsid w:val="000A2672"/>
    <w:rsid w:val="000A4CF0"/>
    <w:rsid w:val="000C05FF"/>
    <w:rsid w:val="000C3ACC"/>
    <w:rsid w:val="000F48DD"/>
    <w:rsid w:val="000F7D4A"/>
    <w:rsid w:val="00124506"/>
    <w:rsid w:val="0014450A"/>
    <w:rsid w:val="00207A2E"/>
    <w:rsid w:val="0026115A"/>
    <w:rsid w:val="00281271"/>
    <w:rsid w:val="002850E0"/>
    <w:rsid w:val="002A7AA8"/>
    <w:rsid w:val="002D2AA7"/>
    <w:rsid w:val="002D7452"/>
    <w:rsid w:val="002E2E6B"/>
    <w:rsid w:val="0034744D"/>
    <w:rsid w:val="003A00E5"/>
    <w:rsid w:val="003A25D4"/>
    <w:rsid w:val="003B58BD"/>
    <w:rsid w:val="003C4A00"/>
    <w:rsid w:val="003E3D05"/>
    <w:rsid w:val="003E7EA1"/>
    <w:rsid w:val="00416599"/>
    <w:rsid w:val="004210EF"/>
    <w:rsid w:val="00435A4D"/>
    <w:rsid w:val="00442F42"/>
    <w:rsid w:val="004C6A5B"/>
    <w:rsid w:val="00506B50"/>
    <w:rsid w:val="0051187B"/>
    <w:rsid w:val="00526256"/>
    <w:rsid w:val="00547599"/>
    <w:rsid w:val="00560947"/>
    <w:rsid w:val="005729ED"/>
    <w:rsid w:val="00572F71"/>
    <w:rsid w:val="00574FFB"/>
    <w:rsid w:val="005B40BE"/>
    <w:rsid w:val="005C687B"/>
    <w:rsid w:val="005F1BA1"/>
    <w:rsid w:val="00602434"/>
    <w:rsid w:val="00617F3F"/>
    <w:rsid w:val="00621407"/>
    <w:rsid w:val="00621AAC"/>
    <w:rsid w:val="0064160A"/>
    <w:rsid w:val="00651848"/>
    <w:rsid w:val="00660376"/>
    <w:rsid w:val="006662D2"/>
    <w:rsid w:val="00670560"/>
    <w:rsid w:val="0068287C"/>
    <w:rsid w:val="006936D5"/>
    <w:rsid w:val="006A75EA"/>
    <w:rsid w:val="006B215C"/>
    <w:rsid w:val="006B7F20"/>
    <w:rsid w:val="00744DC6"/>
    <w:rsid w:val="00747794"/>
    <w:rsid w:val="0077039D"/>
    <w:rsid w:val="007722CA"/>
    <w:rsid w:val="00784178"/>
    <w:rsid w:val="007A092D"/>
    <w:rsid w:val="007A19E4"/>
    <w:rsid w:val="007C50BF"/>
    <w:rsid w:val="007D6D0D"/>
    <w:rsid w:val="00812AA5"/>
    <w:rsid w:val="00836BCA"/>
    <w:rsid w:val="00842C31"/>
    <w:rsid w:val="008C2A9E"/>
    <w:rsid w:val="008E0206"/>
    <w:rsid w:val="00907DF1"/>
    <w:rsid w:val="00967C98"/>
    <w:rsid w:val="00985744"/>
    <w:rsid w:val="0099427E"/>
    <w:rsid w:val="00996478"/>
    <w:rsid w:val="009A0F75"/>
    <w:rsid w:val="009D3E3E"/>
    <w:rsid w:val="009F0F7B"/>
    <w:rsid w:val="00A2508D"/>
    <w:rsid w:val="00A62F7B"/>
    <w:rsid w:val="00A71A37"/>
    <w:rsid w:val="00A73FB9"/>
    <w:rsid w:val="00A81762"/>
    <w:rsid w:val="00A90F8A"/>
    <w:rsid w:val="00AA5614"/>
    <w:rsid w:val="00AB0BF3"/>
    <w:rsid w:val="00AB77D3"/>
    <w:rsid w:val="00B03166"/>
    <w:rsid w:val="00B30957"/>
    <w:rsid w:val="00B61CDC"/>
    <w:rsid w:val="00BA3030"/>
    <w:rsid w:val="00BC174E"/>
    <w:rsid w:val="00BE16D0"/>
    <w:rsid w:val="00C0363D"/>
    <w:rsid w:val="00C244F2"/>
    <w:rsid w:val="00C62148"/>
    <w:rsid w:val="00C7664F"/>
    <w:rsid w:val="00C769D1"/>
    <w:rsid w:val="00C91AAB"/>
    <w:rsid w:val="00CA2C44"/>
    <w:rsid w:val="00CA445B"/>
    <w:rsid w:val="00CE3431"/>
    <w:rsid w:val="00D06159"/>
    <w:rsid w:val="00D13D7F"/>
    <w:rsid w:val="00D30052"/>
    <w:rsid w:val="00D317B4"/>
    <w:rsid w:val="00D33AD6"/>
    <w:rsid w:val="00D5341C"/>
    <w:rsid w:val="00D754E0"/>
    <w:rsid w:val="00DC4AE2"/>
    <w:rsid w:val="00DE34B7"/>
    <w:rsid w:val="00E52132"/>
    <w:rsid w:val="00E671C6"/>
    <w:rsid w:val="00E84035"/>
    <w:rsid w:val="00EB7F34"/>
    <w:rsid w:val="00ED2F32"/>
    <w:rsid w:val="00ED62FB"/>
    <w:rsid w:val="00EE20DD"/>
    <w:rsid w:val="00EF1C2D"/>
    <w:rsid w:val="00F90B64"/>
    <w:rsid w:val="00F9588D"/>
    <w:rsid w:val="00FA7B3C"/>
    <w:rsid w:val="00FD2D3F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34"/>
  </w:style>
  <w:style w:type="paragraph" w:styleId="Heading1">
    <w:name w:val="heading 1"/>
    <w:basedOn w:val="Normal"/>
    <w:next w:val="Normal"/>
    <w:link w:val="Heading1Char"/>
    <w:uiPriority w:val="9"/>
    <w:qFormat/>
    <w:rsid w:val="0067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5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0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0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teteks</cp:lastModifiedBy>
  <cp:revision>100</cp:revision>
  <cp:lastPrinted>2023-02-23T11:46:00Z</cp:lastPrinted>
  <dcterms:created xsi:type="dcterms:W3CDTF">2012-07-31T06:30:00Z</dcterms:created>
  <dcterms:modified xsi:type="dcterms:W3CDTF">2023-02-23T12:57:00Z</dcterms:modified>
</cp:coreProperties>
</file>