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BC81" w14:textId="77777777" w:rsidR="000C431F" w:rsidRPr="00B73FFB" w:rsidRDefault="000C431F" w:rsidP="00BE0206">
      <w:pPr>
        <w:spacing w:after="0" w:line="240" w:lineRule="auto"/>
        <w:ind w:left="340" w:right="340"/>
        <w:jc w:val="center"/>
        <w:rPr>
          <w:b/>
          <w:lang w:val="mk-MK"/>
        </w:rPr>
      </w:pPr>
      <w:bookmarkStart w:id="0" w:name="_GoBack"/>
      <w:bookmarkEnd w:id="0"/>
    </w:p>
    <w:p w14:paraId="103C8951" w14:textId="77777777" w:rsidR="00440EBF" w:rsidRPr="00D04063" w:rsidRDefault="00440EBF" w:rsidP="00BE0206">
      <w:pPr>
        <w:spacing w:after="0" w:line="240" w:lineRule="auto"/>
        <w:ind w:left="340" w:right="340"/>
        <w:jc w:val="center"/>
        <w:rPr>
          <w:b/>
          <w:lang w:val="mk-MK"/>
        </w:rPr>
      </w:pPr>
      <w:r w:rsidRPr="00D04063">
        <w:rPr>
          <w:b/>
          <w:lang w:val="mk-MK"/>
        </w:rPr>
        <w:t xml:space="preserve">Анализа на финансиските резултати на </w:t>
      </w:r>
      <w:r w:rsidR="00D42531">
        <w:rPr>
          <w:b/>
          <w:lang w:val="mk-MK"/>
        </w:rPr>
        <w:t>Стопанска банка</w:t>
      </w:r>
      <w:r w:rsidRPr="00D04063">
        <w:rPr>
          <w:b/>
          <w:lang w:val="mk-MK"/>
        </w:rPr>
        <w:t xml:space="preserve"> АД </w:t>
      </w:r>
      <w:r w:rsidR="00606E14" w:rsidRPr="00A97410">
        <w:rPr>
          <w:rFonts w:cstheme="minorHAnsi"/>
          <w:b/>
          <w:lang w:val="mk-MK"/>
        </w:rPr>
        <w:t>–</w:t>
      </w:r>
      <w:r w:rsidR="001477F0" w:rsidRPr="00A97410">
        <w:rPr>
          <w:b/>
          <w:lang w:val="mk-MK"/>
        </w:rPr>
        <w:t xml:space="preserve"> </w:t>
      </w:r>
      <w:r w:rsidRPr="00D04063">
        <w:rPr>
          <w:b/>
          <w:lang w:val="mk-MK"/>
        </w:rPr>
        <w:t>Скопје</w:t>
      </w:r>
    </w:p>
    <w:p w14:paraId="7D6CA3D7" w14:textId="7DB5C7F7" w:rsidR="00612CF9" w:rsidRDefault="00440EBF" w:rsidP="00BE0206">
      <w:pPr>
        <w:spacing w:after="0" w:line="240" w:lineRule="auto"/>
        <w:ind w:left="340" w:right="340"/>
        <w:jc w:val="center"/>
        <w:rPr>
          <w:b/>
          <w:lang w:val="mk-MK"/>
        </w:rPr>
      </w:pPr>
      <w:r w:rsidRPr="00D04063">
        <w:rPr>
          <w:b/>
          <w:lang w:val="mk-MK"/>
        </w:rPr>
        <w:t xml:space="preserve">за период </w:t>
      </w:r>
      <w:r w:rsidR="006B4F41">
        <w:rPr>
          <w:b/>
          <w:lang w:val="mk-MK"/>
        </w:rPr>
        <w:t>0</w:t>
      </w:r>
      <w:r w:rsidRPr="00D04063">
        <w:rPr>
          <w:b/>
          <w:lang w:val="mk-MK"/>
        </w:rPr>
        <w:t>1.</w:t>
      </w:r>
      <w:r w:rsidR="006B4F41">
        <w:rPr>
          <w:b/>
          <w:lang w:val="mk-MK"/>
        </w:rPr>
        <w:t>0</w:t>
      </w:r>
      <w:r w:rsidRPr="00D04063">
        <w:rPr>
          <w:b/>
          <w:lang w:val="mk-MK"/>
        </w:rPr>
        <w:t>1.20</w:t>
      </w:r>
      <w:r w:rsidR="00EE7689" w:rsidRPr="00A97410">
        <w:rPr>
          <w:b/>
          <w:lang w:val="mk-MK"/>
        </w:rPr>
        <w:t>2</w:t>
      </w:r>
      <w:r w:rsidR="00E71B56" w:rsidRPr="00A97410">
        <w:rPr>
          <w:b/>
          <w:lang w:val="mk-MK"/>
        </w:rPr>
        <w:t>3</w:t>
      </w:r>
      <w:r w:rsidR="00606E14">
        <w:rPr>
          <w:b/>
          <w:lang w:val="mk-MK"/>
        </w:rPr>
        <w:t xml:space="preserve"> </w:t>
      </w:r>
      <w:r w:rsidR="00606E14">
        <w:rPr>
          <w:rFonts w:cstheme="minorHAnsi"/>
          <w:b/>
          <w:lang w:val="mk-MK"/>
        </w:rPr>
        <w:t>–</w:t>
      </w:r>
      <w:r w:rsidR="00606E14">
        <w:rPr>
          <w:b/>
          <w:lang w:val="mk-MK"/>
        </w:rPr>
        <w:t xml:space="preserve"> </w:t>
      </w:r>
      <w:r w:rsidR="00181997" w:rsidRPr="00A97410">
        <w:rPr>
          <w:b/>
          <w:lang w:val="mk-MK"/>
        </w:rPr>
        <w:t>31.</w:t>
      </w:r>
      <w:r w:rsidR="004D1C81" w:rsidRPr="00A97410">
        <w:rPr>
          <w:b/>
          <w:lang w:val="mk-MK"/>
        </w:rPr>
        <w:t>03</w:t>
      </w:r>
      <w:r w:rsidRPr="00D04063">
        <w:rPr>
          <w:b/>
          <w:lang w:val="mk-MK"/>
        </w:rPr>
        <w:t>.20</w:t>
      </w:r>
      <w:r w:rsidR="00EE7689" w:rsidRPr="00A97410">
        <w:rPr>
          <w:b/>
          <w:lang w:val="mk-MK"/>
        </w:rPr>
        <w:t>2</w:t>
      </w:r>
      <w:r w:rsidR="00E0015D" w:rsidRPr="00A97410">
        <w:rPr>
          <w:b/>
          <w:lang w:val="mk-MK"/>
        </w:rPr>
        <w:t>3</w:t>
      </w:r>
      <w:r w:rsidRPr="00D04063">
        <w:rPr>
          <w:b/>
          <w:lang w:val="mk-MK"/>
        </w:rPr>
        <w:t xml:space="preserve"> година</w:t>
      </w:r>
    </w:p>
    <w:p w14:paraId="4BD670E2" w14:textId="77777777" w:rsidR="00745EE5" w:rsidRPr="00D04063" w:rsidRDefault="00745EE5" w:rsidP="00BE0206">
      <w:pPr>
        <w:spacing w:after="0" w:line="240" w:lineRule="auto"/>
        <w:ind w:left="340" w:right="340"/>
        <w:jc w:val="center"/>
        <w:rPr>
          <w:b/>
          <w:lang w:val="mk-MK"/>
        </w:rPr>
      </w:pPr>
    </w:p>
    <w:p w14:paraId="7CB558A7" w14:textId="77777777" w:rsidR="00440EBF" w:rsidRDefault="00440EBF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5416F49B" w14:textId="6F6DC237" w:rsidR="00A97410" w:rsidRDefault="00A97410" w:rsidP="00916D00">
      <w:pPr>
        <w:spacing w:after="0" w:line="240" w:lineRule="auto"/>
        <w:ind w:left="340" w:right="340" w:firstLine="380"/>
        <w:jc w:val="both"/>
        <w:rPr>
          <w:lang w:val="mk-MK"/>
        </w:rPr>
      </w:pPr>
      <w:r>
        <w:rPr>
          <w:lang w:val="mk-MK"/>
        </w:rPr>
        <w:t xml:space="preserve">Деловното опкружување во првиот квартал од 2023 </w:t>
      </w:r>
      <w:r w:rsidR="009A4AB2">
        <w:rPr>
          <w:lang w:val="mk-MK"/>
        </w:rPr>
        <w:t>година претставува континуитет на исклучително сериозните предизвици со кои економиите и бизнисите, како глобално така и на ниво на домашната економија, се сооч</w:t>
      </w:r>
      <w:r w:rsidR="003526F6">
        <w:rPr>
          <w:lang w:val="mk-MK"/>
        </w:rPr>
        <w:t>ија</w:t>
      </w:r>
      <w:r w:rsidR="009A4AB2">
        <w:rPr>
          <w:lang w:val="mk-MK"/>
        </w:rPr>
        <w:t xml:space="preserve"> во претходната 2022 година. Војната во Украина, енергетската криза, инфлаторните притисоци</w:t>
      </w:r>
      <w:r w:rsidR="00F3790B">
        <w:rPr>
          <w:lang w:val="mk-MK"/>
        </w:rPr>
        <w:t xml:space="preserve"> </w:t>
      </w:r>
      <w:r w:rsidR="0096180F">
        <w:rPr>
          <w:lang w:val="mk-MK"/>
        </w:rPr>
        <w:t>што</w:t>
      </w:r>
      <w:r w:rsidR="00F3790B">
        <w:rPr>
          <w:lang w:val="mk-MK"/>
        </w:rPr>
        <w:t xml:space="preserve"> достигнуваат децени</w:t>
      </w:r>
      <w:r w:rsidR="00E171EC">
        <w:rPr>
          <w:lang w:val="mk-MK"/>
        </w:rPr>
        <w:t>ски максимум</w:t>
      </w:r>
      <w:r w:rsidR="00F3790B">
        <w:rPr>
          <w:lang w:val="mk-MK"/>
        </w:rPr>
        <w:t xml:space="preserve"> и како последица на сето тоа, </w:t>
      </w:r>
      <w:r w:rsidR="009A4AB2">
        <w:rPr>
          <w:lang w:val="mk-MK"/>
        </w:rPr>
        <w:t>затегнувањето на монетарните политики на централните банки, неминовно доведува до</w:t>
      </w:r>
      <w:r w:rsidR="00F3790B">
        <w:rPr>
          <w:lang w:val="mk-MK"/>
        </w:rPr>
        <w:t xml:space="preserve"> негативни ефекти и ги  влошува</w:t>
      </w:r>
      <w:r w:rsidR="009A4AB2">
        <w:rPr>
          <w:lang w:val="mk-MK"/>
        </w:rPr>
        <w:t xml:space="preserve"> изгледи</w:t>
      </w:r>
      <w:r w:rsidR="00F3790B">
        <w:rPr>
          <w:lang w:val="mk-MK"/>
        </w:rPr>
        <w:t>те за глобалниот економски раст.</w:t>
      </w:r>
      <w:r w:rsidR="009A4AB2">
        <w:rPr>
          <w:lang w:val="mk-MK"/>
        </w:rPr>
        <w:t xml:space="preserve"> </w:t>
      </w:r>
      <w:r w:rsidR="00F3790B">
        <w:rPr>
          <w:lang w:val="mk-MK"/>
        </w:rPr>
        <w:t xml:space="preserve">Во </w:t>
      </w:r>
      <w:r w:rsidR="003526F6">
        <w:rPr>
          <w:lang w:val="mk-MK"/>
        </w:rPr>
        <w:t>тој контекст</w:t>
      </w:r>
      <w:r w:rsidR="00F3790B">
        <w:rPr>
          <w:lang w:val="mk-MK"/>
        </w:rPr>
        <w:t>,</w:t>
      </w:r>
      <w:r w:rsidR="003526F6">
        <w:rPr>
          <w:lang w:val="mk-MK"/>
        </w:rPr>
        <w:t xml:space="preserve"> деловното опкружување и во Република С Македонија се карактеризира со забавување на растот на БДП, кој според</w:t>
      </w:r>
      <w:r w:rsidR="00087FE1">
        <w:rPr>
          <w:lang w:val="mk-MK"/>
        </w:rPr>
        <w:t xml:space="preserve"> очекувањата</w:t>
      </w:r>
      <w:r w:rsidR="0096180F">
        <w:rPr>
          <w:lang w:val="mk-MK"/>
        </w:rPr>
        <w:t>,</w:t>
      </w:r>
      <w:r w:rsidR="00087FE1">
        <w:rPr>
          <w:lang w:val="mk-MK"/>
        </w:rPr>
        <w:t xml:space="preserve"> треба да биде на ниво од скромни нешто над 2</w:t>
      </w:r>
      <w:r w:rsidR="005F2BAB" w:rsidRPr="00BF5C71">
        <w:rPr>
          <w:lang w:val="mk-MK"/>
        </w:rPr>
        <w:t xml:space="preserve"> </w:t>
      </w:r>
      <w:r w:rsidR="00087FE1">
        <w:rPr>
          <w:lang w:val="mk-MK"/>
        </w:rPr>
        <w:t>%, додека според</w:t>
      </w:r>
      <w:r w:rsidR="003526F6">
        <w:rPr>
          <w:lang w:val="mk-MK"/>
        </w:rPr>
        <w:t xml:space="preserve"> проекциите на Меѓународниот </w:t>
      </w:r>
      <w:r w:rsidR="0096180F">
        <w:rPr>
          <w:lang w:val="mk-MK"/>
        </w:rPr>
        <w:t>м</w:t>
      </w:r>
      <w:r w:rsidR="003526F6">
        <w:rPr>
          <w:lang w:val="mk-MK"/>
        </w:rPr>
        <w:t xml:space="preserve">онетарен </w:t>
      </w:r>
      <w:r w:rsidR="0096180F">
        <w:rPr>
          <w:lang w:val="mk-MK"/>
        </w:rPr>
        <w:t>ф</w:t>
      </w:r>
      <w:r w:rsidR="003526F6">
        <w:rPr>
          <w:lang w:val="mk-MK"/>
        </w:rPr>
        <w:t>онд за 2023, треба да достигне само 1,4</w:t>
      </w:r>
      <w:r w:rsidR="005F2BAB">
        <w:t xml:space="preserve"> </w:t>
      </w:r>
      <w:r w:rsidR="003526F6">
        <w:rPr>
          <w:lang w:val="mk-MK"/>
        </w:rPr>
        <w:t>%.</w:t>
      </w:r>
      <w:r w:rsidR="00A135CE">
        <w:rPr>
          <w:lang w:val="mk-MK"/>
        </w:rPr>
        <w:t xml:space="preserve"> </w:t>
      </w:r>
      <w:r w:rsidR="00087FE1">
        <w:rPr>
          <w:lang w:val="mk-MK"/>
        </w:rPr>
        <w:t xml:space="preserve"> </w:t>
      </w:r>
      <w:r w:rsidR="00A135CE">
        <w:rPr>
          <w:lang w:val="mk-MK"/>
        </w:rPr>
        <w:t>Банкарскиот сектор продолжува да испорачува значајна кредитна поддршка на реалниот сектор и домаќинствата</w:t>
      </w:r>
      <w:r w:rsidR="006C31E5">
        <w:rPr>
          <w:lang w:val="mk-MK"/>
        </w:rPr>
        <w:t>, како и стабилност и сигурност за националното штедење во форма на банкарски депозити.</w:t>
      </w:r>
      <w:r w:rsidR="00A135CE">
        <w:rPr>
          <w:lang w:val="mk-MK"/>
        </w:rPr>
        <w:t xml:space="preserve"> </w:t>
      </w:r>
    </w:p>
    <w:p w14:paraId="0FB2B48E" w14:textId="2A28215E" w:rsidR="00916D00" w:rsidRPr="007205CA" w:rsidRDefault="00A97410" w:rsidP="00916D00">
      <w:pPr>
        <w:spacing w:after="0" w:line="240" w:lineRule="auto"/>
        <w:ind w:left="340" w:right="340" w:firstLine="380"/>
        <w:jc w:val="both"/>
        <w:rPr>
          <w:lang w:val="mk-MK"/>
        </w:rPr>
      </w:pPr>
      <w:r>
        <w:rPr>
          <w:lang w:val="mk-MK"/>
        </w:rPr>
        <w:t xml:space="preserve"> </w:t>
      </w:r>
      <w:r w:rsidR="0096180F">
        <w:rPr>
          <w:lang w:val="mk-MK"/>
        </w:rPr>
        <w:t>Во с</w:t>
      </w:r>
      <w:r w:rsidR="00B73FFB">
        <w:rPr>
          <w:lang w:val="mk-MK"/>
        </w:rPr>
        <w:t>огласно</w:t>
      </w:r>
      <w:r w:rsidR="0096180F">
        <w:rPr>
          <w:lang w:val="mk-MK"/>
        </w:rPr>
        <w:t>ст со</w:t>
      </w:r>
      <w:r w:rsidR="00B73FFB">
        <w:rPr>
          <w:lang w:val="mk-MK"/>
        </w:rPr>
        <w:t xml:space="preserve"> очекувањата, </w:t>
      </w:r>
      <w:r>
        <w:rPr>
          <w:lang w:val="mk-MK"/>
        </w:rPr>
        <w:t xml:space="preserve"> во </w:t>
      </w:r>
      <w:r w:rsidR="004D1C81">
        <w:rPr>
          <w:lang w:val="mk-MK"/>
        </w:rPr>
        <w:t>првиот квартал од 202</w:t>
      </w:r>
      <w:r w:rsidR="00E0015D" w:rsidRPr="00A97410">
        <w:rPr>
          <w:lang w:val="mk-MK"/>
        </w:rPr>
        <w:t>3</w:t>
      </w:r>
      <w:r w:rsidR="004D1C81">
        <w:rPr>
          <w:lang w:val="mk-MK"/>
        </w:rPr>
        <w:t xml:space="preserve"> година</w:t>
      </w:r>
      <w:r>
        <w:rPr>
          <w:lang w:val="mk-MK"/>
        </w:rPr>
        <w:t xml:space="preserve">, </w:t>
      </w:r>
      <w:r w:rsidR="00B73FFB">
        <w:rPr>
          <w:lang w:val="mk-MK"/>
        </w:rPr>
        <w:t xml:space="preserve">Стопанска банка АД Скопје (во натамошниот текст: СБ или Банката) </w:t>
      </w:r>
      <w:r w:rsidR="00DF2557">
        <w:rPr>
          <w:lang w:val="mk-MK"/>
        </w:rPr>
        <w:t>оствар</w:t>
      </w:r>
      <w:r>
        <w:rPr>
          <w:lang w:val="mk-MK"/>
        </w:rPr>
        <w:t>и</w:t>
      </w:r>
      <w:r w:rsidR="00DF2557">
        <w:rPr>
          <w:lang w:val="mk-MK"/>
        </w:rPr>
        <w:t xml:space="preserve"> добивка</w:t>
      </w:r>
      <w:r w:rsidR="004D5FB2">
        <w:rPr>
          <w:lang w:val="mk-MK"/>
        </w:rPr>
        <w:t xml:space="preserve"> пред оданочување и резервации </w:t>
      </w:r>
      <w:r w:rsidR="006C31E5">
        <w:rPr>
          <w:lang w:val="mk-MK"/>
        </w:rPr>
        <w:t xml:space="preserve">во </w:t>
      </w:r>
      <w:r w:rsidR="006C31E5" w:rsidRPr="007205CA">
        <w:rPr>
          <w:lang w:val="mk-MK"/>
        </w:rPr>
        <w:t xml:space="preserve">износ од </w:t>
      </w:r>
      <w:r w:rsidR="006C31E5" w:rsidRPr="00F03339">
        <w:rPr>
          <w:bCs/>
          <w:lang w:val="mk-MK"/>
        </w:rPr>
        <w:t>1.151.593 илјади денари</w:t>
      </w:r>
      <w:r w:rsidR="006C31E5" w:rsidRPr="007205CA">
        <w:rPr>
          <w:lang w:val="mk-MK"/>
        </w:rPr>
        <w:t>, што е 25</w:t>
      </w:r>
      <w:r w:rsidR="006764D2">
        <w:rPr>
          <w:lang w:val="mk-MK"/>
        </w:rPr>
        <w:t xml:space="preserve"> </w:t>
      </w:r>
      <w:r w:rsidR="006C31E5" w:rsidRPr="007205CA">
        <w:rPr>
          <w:lang w:val="mk-MK"/>
        </w:rPr>
        <w:t>% повеќе споредено со претходната година. Истовремено, врз основа на прудентните политики на Б</w:t>
      </w:r>
      <w:r w:rsidR="006C31E5" w:rsidRPr="00E171EC">
        <w:rPr>
          <w:lang w:val="mk-MK"/>
        </w:rPr>
        <w:t>анката за управување со ризиците, и</w:t>
      </w:r>
      <w:r w:rsidR="004D5FB2" w:rsidRPr="00E171EC">
        <w:rPr>
          <w:lang w:val="mk-MK"/>
        </w:rPr>
        <w:t xml:space="preserve">мајќи ги предвид сите предизвици </w:t>
      </w:r>
      <w:r w:rsidR="0096180F">
        <w:rPr>
          <w:lang w:val="mk-MK"/>
        </w:rPr>
        <w:t>што</w:t>
      </w:r>
      <w:r w:rsidR="004D5FB2" w:rsidRPr="00E171EC">
        <w:rPr>
          <w:lang w:val="mk-MK"/>
        </w:rPr>
        <w:t xml:space="preserve"> ги носи </w:t>
      </w:r>
      <w:r w:rsidR="004D5FB2" w:rsidRPr="00087FE1">
        <w:rPr>
          <w:lang w:val="mk-MK"/>
        </w:rPr>
        <w:t>тековното деловно опкруж</w:t>
      </w:r>
      <w:r w:rsidR="006C31E5" w:rsidRPr="00087FE1">
        <w:rPr>
          <w:lang w:val="mk-MK"/>
        </w:rPr>
        <w:t>ување, глобално и на ниво на домашната економија, во текот на првиот квартал од 2023</w:t>
      </w:r>
      <w:r w:rsidR="00346000">
        <w:rPr>
          <w:lang w:val="mk-MK"/>
        </w:rPr>
        <w:t xml:space="preserve"> година</w:t>
      </w:r>
      <w:r w:rsidR="006C31E5" w:rsidRPr="00087FE1">
        <w:rPr>
          <w:lang w:val="mk-MK"/>
        </w:rPr>
        <w:t>,</w:t>
      </w:r>
      <w:r w:rsidR="00DF2557" w:rsidRPr="00087FE1">
        <w:rPr>
          <w:lang w:val="mk-MK"/>
        </w:rPr>
        <w:t xml:space="preserve"> </w:t>
      </w:r>
      <w:r w:rsidR="006C31E5" w:rsidRPr="00087FE1">
        <w:rPr>
          <w:lang w:val="mk-MK"/>
        </w:rPr>
        <w:t xml:space="preserve">Банката издвои </w:t>
      </w:r>
      <w:r w:rsidR="006C31E5" w:rsidRPr="00F03339">
        <w:rPr>
          <w:lang w:val="mk-MK"/>
        </w:rPr>
        <w:t>исправка на вредност на финансиските средства и посебна резерва за вонбилансна изложеност, на нето-основа,</w:t>
      </w:r>
      <w:r w:rsidR="006C31E5" w:rsidRPr="007205CA">
        <w:rPr>
          <w:lang w:val="mk-MK"/>
        </w:rPr>
        <w:t xml:space="preserve"> во износ од 375.149 илјади денари. Со тоа, добивката на Банката пред оданочување на 31.03.2023 година изнесува</w:t>
      </w:r>
      <w:r w:rsidRPr="00E171EC">
        <w:rPr>
          <w:lang w:val="mk-MK"/>
        </w:rPr>
        <w:t xml:space="preserve"> </w:t>
      </w:r>
      <w:r w:rsidR="00E0015D" w:rsidRPr="00E171EC">
        <w:rPr>
          <w:lang w:val="mk-MK"/>
        </w:rPr>
        <w:t>776</w:t>
      </w:r>
      <w:r w:rsidR="00DF2557" w:rsidRPr="00087FE1">
        <w:rPr>
          <w:lang w:val="mk-MK"/>
        </w:rPr>
        <w:t>.</w:t>
      </w:r>
      <w:r w:rsidR="00E0015D" w:rsidRPr="00087FE1">
        <w:rPr>
          <w:lang w:val="mk-MK"/>
        </w:rPr>
        <w:t>444</w:t>
      </w:r>
      <w:r w:rsidR="00DF2557" w:rsidRPr="00087FE1">
        <w:rPr>
          <w:lang w:val="mk-MK"/>
        </w:rPr>
        <w:t xml:space="preserve"> илјади денари</w:t>
      </w:r>
      <w:r w:rsidR="006C31E5" w:rsidRPr="00087FE1">
        <w:rPr>
          <w:lang w:val="mk-MK"/>
        </w:rPr>
        <w:t xml:space="preserve"> и во</w:t>
      </w:r>
      <w:r w:rsidR="003F07FA" w:rsidRPr="00087FE1">
        <w:rPr>
          <w:lang w:val="mk-MK"/>
        </w:rPr>
        <w:t xml:space="preserve"> однос на истиот период од</w:t>
      </w:r>
      <w:r w:rsidR="00E0015D" w:rsidRPr="00087FE1">
        <w:rPr>
          <w:lang w:val="mk-MK"/>
        </w:rPr>
        <w:t xml:space="preserve"> минатата година е повисока за </w:t>
      </w:r>
      <w:r w:rsidR="00536D81" w:rsidRPr="00087FE1">
        <w:rPr>
          <w:lang w:val="mk-MK"/>
        </w:rPr>
        <w:t>5</w:t>
      </w:r>
      <w:r w:rsidR="0096180F">
        <w:rPr>
          <w:lang w:val="mk-MK"/>
        </w:rPr>
        <w:t xml:space="preserve"> </w:t>
      </w:r>
      <w:r w:rsidR="003F07FA" w:rsidRPr="00087FE1">
        <w:rPr>
          <w:lang w:val="mk-MK"/>
        </w:rPr>
        <w:t>%</w:t>
      </w:r>
      <w:r w:rsidR="006C31E5" w:rsidRPr="00087FE1">
        <w:rPr>
          <w:lang w:val="mk-MK"/>
        </w:rPr>
        <w:t>.</w:t>
      </w:r>
      <w:r w:rsidR="003F07FA" w:rsidRPr="007205CA">
        <w:rPr>
          <w:lang w:val="mk-MK"/>
        </w:rPr>
        <w:t xml:space="preserve"> </w:t>
      </w:r>
      <w:r w:rsidR="006C31E5" w:rsidRPr="007205CA">
        <w:rPr>
          <w:lang w:val="mk-MK"/>
        </w:rPr>
        <w:t>В</w:t>
      </w:r>
      <w:r w:rsidR="003F07FA" w:rsidRPr="007205CA">
        <w:rPr>
          <w:lang w:val="mk-MK"/>
        </w:rPr>
        <w:t>о најголем дел</w:t>
      </w:r>
      <w:r w:rsidR="006C31E5" w:rsidRPr="007205CA">
        <w:rPr>
          <w:lang w:val="mk-MK"/>
        </w:rPr>
        <w:t>, ова е резултат</w:t>
      </w:r>
      <w:r w:rsidR="003F07FA" w:rsidRPr="00E171EC">
        <w:rPr>
          <w:lang w:val="mk-MK"/>
        </w:rPr>
        <w:t xml:space="preserve"> на зголемени приходи по сите основи </w:t>
      </w:r>
      <w:r w:rsidR="006C31E5" w:rsidRPr="00E171EC">
        <w:rPr>
          <w:lang w:val="mk-MK"/>
        </w:rPr>
        <w:t>заради</w:t>
      </w:r>
      <w:r w:rsidR="003F07FA" w:rsidRPr="00E171EC">
        <w:rPr>
          <w:lang w:val="mk-MK"/>
        </w:rPr>
        <w:t xml:space="preserve"> </w:t>
      </w:r>
      <w:r w:rsidR="004D5FB2" w:rsidRPr="00087FE1">
        <w:rPr>
          <w:lang w:val="mk-MK"/>
        </w:rPr>
        <w:t xml:space="preserve">континуираниот тренд на </w:t>
      </w:r>
      <w:r w:rsidR="003F07FA" w:rsidRPr="00087FE1">
        <w:rPr>
          <w:lang w:val="mk-MK"/>
        </w:rPr>
        <w:t>зголем</w:t>
      </w:r>
      <w:r w:rsidR="004D5FB2" w:rsidRPr="00087FE1">
        <w:rPr>
          <w:lang w:val="mk-MK"/>
        </w:rPr>
        <w:t xml:space="preserve">ување на </w:t>
      </w:r>
      <w:r w:rsidR="003F07FA" w:rsidRPr="00087FE1">
        <w:rPr>
          <w:lang w:val="mk-MK"/>
        </w:rPr>
        <w:t xml:space="preserve"> обем</w:t>
      </w:r>
      <w:r w:rsidR="004D5FB2" w:rsidRPr="00087FE1">
        <w:rPr>
          <w:lang w:val="mk-MK"/>
        </w:rPr>
        <w:t>от</w:t>
      </w:r>
      <w:r w:rsidR="003F07FA" w:rsidRPr="00087FE1">
        <w:rPr>
          <w:lang w:val="mk-MK"/>
        </w:rPr>
        <w:t xml:space="preserve"> на деловни активности</w:t>
      </w:r>
      <w:r w:rsidR="004D5FB2" w:rsidRPr="00087FE1">
        <w:rPr>
          <w:lang w:val="mk-MK"/>
        </w:rPr>
        <w:t xml:space="preserve">, како и </w:t>
      </w:r>
      <w:r w:rsidR="003F07FA" w:rsidRPr="0008409B">
        <w:rPr>
          <w:lang w:val="mk-MK"/>
        </w:rPr>
        <w:t>зголемено</w:t>
      </w:r>
      <w:r w:rsidR="004D5FB2" w:rsidRPr="0008409B">
        <w:rPr>
          <w:lang w:val="mk-MK"/>
        </w:rPr>
        <w:t>то</w:t>
      </w:r>
      <w:r w:rsidR="003F07FA" w:rsidRPr="0008409B">
        <w:rPr>
          <w:lang w:val="mk-MK"/>
        </w:rPr>
        <w:t xml:space="preserve"> кредитн</w:t>
      </w:r>
      <w:r w:rsidR="00536D81" w:rsidRPr="0008409B">
        <w:rPr>
          <w:lang w:val="mk-MK"/>
        </w:rPr>
        <w:t>о портф</w:t>
      </w:r>
      <w:r w:rsidR="005D31DC" w:rsidRPr="0008409B">
        <w:rPr>
          <w:lang w:val="mk-MK"/>
        </w:rPr>
        <w:t>о</w:t>
      </w:r>
      <w:r w:rsidR="00536D81" w:rsidRPr="0008409B">
        <w:rPr>
          <w:lang w:val="mk-MK"/>
        </w:rPr>
        <w:t>лио на Банка</w:t>
      </w:r>
      <w:r w:rsidR="00047122">
        <w:rPr>
          <w:lang w:val="mk-MK"/>
        </w:rPr>
        <w:t>та</w:t>
      </w:r>
      <w:r w:rsidR="00536D81" w:rsidRPr="0008409B">
        <w:rPr>
          <w:lang w:val="mk-MK"/>
        </w:rPr>
        <w:t>.</w:t>
      </w:r>
      <w:r w:rsidR="00916D00" w:rsidRPr="0008409B">
        <w:rPr>
          <w:lang w:val="mk-MK"/>
        </w:rPr>
        <w:t xml:space="preserve"> Успешното работење е остварено во услови на органски раст на активата на Банката</w:t>
      </w:r>
      <w:r w:rsidR="0096180F">
        <w:rPr>
          <w:lang w:val="mk-MK"/>
        </w:rPr>
        <w:t>,</w:t>
      </w:r>
      <w:r w:rsidR="00916D00" w:rsidRPr="0008409B">
        <w:rPr>
          <w:lang w:val="mk-MK"/>
        </w:rPr>
        <w:t xml:space="preserve"> која на 31.03.2023 година изнесува</w:t>
      </w:r>
      <w:r w:rsidR="00916D00" w:rsidRPr="00072662">
        <w:rPr>
          <w:lang w:val="mk-MK"/>
        </w:rPr>
        <w:t xml:space="preserve"> 121.240.794 илјади денари. На тој начин, Банката</w:t>
      </w:r>
      <w:r w:rsidR="0096180F">
        <w:rPr>
          <w:lang w:val="mk-MK"/>
        </w:rPr>
        <w:t>,</w:t>
      </w:r>
      <w:r w:rsidR="004D5FB2" w:rsidRPr="00072662">
        <w:rPr>
          <w:lang w:val="mk-MK"/>
        </w:rPr>
        <w:t xml:space="preserve"> во согласност со својата деловна стратегија</w:t>
      </w:r>
      <w:r w:rsidR="0096180F">
        <w:rPr>
          <w:lang w:val="mk-MK"/>
        </w:rPr>
        <w:t xml:space="preserve"> </w:t>
      </w:r>
      <w:r w:rsidR="00916D00" w:rsidRPr="00072662">
        <w:rPr>
          <w:lang w:val="mk-MK"/>
        </w:rPr>
        <w:t xml:space="preserve">продолжува </w:t>
      </w:r>
      <w:r w:rsidR="004D5FB2" w:rsidRPr="007205CA">
        <w:rPr>
          <w:lang w:val="mk-MK"/>
        </w:rPr>
        <w:t xml:space="preserve">со </w:t>
      </w:r>
      <w:r w:rsidR="00916D00" w:rsidRPr="007205CA">
        <w:rPr>
          <w:lang w:val="mk-MK"/>
        </w:rPr>
        <w:t xml:space="preserve">раст на </w:t>
      </w:r>
      <w:r w:rsidR="004D5FB2" w:rsidRPr="007205CA">
        <w:rPr>
          <w:lang w:val="mk-MK"/>
        </w:rPr>
        <w:t>обемот на нејзините бизнис</w:t>
      </w:r>
      <w:r w:rsidR="0096180F">
        <w:rPr>
          <w:lang w:val="mk-MK"/>
        </w:rPr>
        <w:t>-</w:t>
      </w:r>
      <w:r w:rsidR="004D5FB2" w:rsidRPr="007205CA">
        <w:rPr>
          <w:lang w:val="mk-MK"/>
        </w:rPr>
        <w:t>активности.</w:t>
      </w:r>
      <w:r w:rsidR="00916D00" w:rsidRPr="007205CA">
        <w:rPr>
          <w:lang w:val="mk-MK"/>
        </w:rPr>
        <w:t xml:space="preserve"> </w:t>
      </w:r>
    </w:p>
    <w:p w14:paraId="55C561AF" w14:textId="77777777" w:rsidR="004D1C81" w:rsidRDefault="004D1C81" w:rsidP="004D1C81">
      <w:pPr>
        <w:spacing w:after="0" w:line="240" w:lineRule="auto"/>
        <w:ind w:left="340" w:right="340" w:firstLine="380"/>
        <w:jc w:val="both"/>
        <w:rPr>
          <w:lang w:val="mk-MK"/>
        </w:rPr>
      </w:pPr>
      <w:r w:rsidRPr="007205CA">
        <w:rPr>
          <w:lang w:val="mk-MK"/>
        </w:rPr>
        <w:t>Во натамошниот текст ќе бидат претставени одделните позиции од билансот</w:t>
      </w:r>
      <w:r>
        <w:rPr>
          <w:lang w:val="mk-MK"/>
        </w:rPr>
        <w:t xml:space="preserve"> на успех и од билансот на состојба на Банката.</w:t>
      </w:r>
    </w:p>
    <w:p w14:paraId="104155F6" w14:textId="77777777" w:rsidR="00B9276D" w:rsidRDefault="00B9276D">
      <w:pPr>
        <w:spacing w:after="0" w:line="240" w:lineRule="auto"/>
        <w:ind w:left="340" w:right="340" w:firstLine="380"/>
        <w:jc w:val="both"/>
        <w:rPr>
          <w:lang w:val="mk-MK"/>
        </w:rPr>
      </w:pPr>
    </w:p>
    <w:p w14:paraId="358B7A9C" w14:textId="77777777" w:rsidR="00181997" w:rsidRDefault="00181997" w:rsidP="007375B3">
      <w:pPr>
        <w:spacing w:after="0" w:line="240" w:lineRule="auto"/>
        <w:ind w:left="340" w:right="340"/>
        <w:jc w:val="both"/>
        <w:rPr>
          <w:lang w:val="mk-MK"/>
        </w:rPr>
      </w:pPr>
    </w:p>
    <w:p w14:paraId="42EB8E02" w14:textId="77777777" w:rsidR="001C326B" w:rsidRDefault="001C326B" w:rsidP="00BE0206">
      <w:pPr>
        <w:spacing w:after="0" w:line="240" w:lineRule="auto"/>
        <w:ind w:left="340" w:right="340"/>
        <w:jc w:val="both"/>
        <w:rPr>
          <w:b/>
          <w:lang w:val="mk-MK"/>
        </w:rPr>
      </w:pPr>
      <w:r w:rsidRPr="00D04063">
        <w:rPr>
          <w:b/>
          <w:lang w:val="mk-MK"/>
        </w:rPr>
        <w:t>Биланс на успех</w:t>
      </w:r>
    </w:p>
    <w:p w14:paraId="61B3CCAC" w14:textId="77777777" w:rsidR="00350CDF" w:rsidRPr="00D04063" w:rsidRDefault="00350CDF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49BFDC8B" w14:textId="6D45E540" w:rsidR="00B9276D" w:rsidRDefault="001501E1">
      <w:pPr>
        <w:spacing w:after="0" w:line="240" w:lineRule="auto"/>
        <w:ind w:left="340" w:right="340" w:firstLine="380"/>
        <w:jc w:val="both"/>
        <w:rPr>
          <w:lang w:val="mk-MK"/>
        </w:rPr>
      </w:pPr>
      <w:r w:rsidRPr="00D04063">
        <w:rPr>
          <w:b/>
          <w:lang w:val="mk-MK"/>
        </w:rPr>
        <w:t>Нето</w:t>
      </w:r>
      <w:r w:rsidR="00606E14">
        <w:rPr>
          <w:b/>
          <w:lang w:val="mk-MK"/>
        </w:rPr>
        <w:t>-</w:t>
      </w:r>
      <w:r w:rsidRPr="00D04063">
        <w:rPr>
          <w:b/>
          <w:lang w:val="mk-MK"/>
        </w:rPr>
        <w:t>приходите од камати</w:t>
      </w:r>
      <w:r w:rsidR="00606E14">
        <w:rPr>
          <w:b/>
          <w:lang w:val="mk-MK"/>
        </w:rPr>
        <w:t xml:space="preserve"> </w:t>
      </w:r>
      <w:r w:rsidR="0086377E">
        <w:rPr>
          <w:lang w:val="mk-MK"/>
        </w:rPr>
        <w:t xml:space="preserve">изнесуваат </w:t>
      </w:r>
      <w:r w:rsidR="00916D00" w:rsidRPr="00A97410">
        <w:rPr>
          <w:lang w:val="mk-MK"/>
        </w:rPr>
        <w:t>1.289</w:t>
      </w:r>
      <w:r w:rsidR="002E1F1D">
        <w:rPr>
          <w:lang w:val="mk-MK"/>
        </w:rPr>
        <w:t>.</w:t>
      </w:r>
      <w:r w:rsidR="00916D00" w:rsidRPr="00A97410">
        <w:rPr>
          <w:lang w:val="mk-MK"/>
        </w:rPr>
        <w:t>288</w:t>
      </w:r>
      <w:r w:rsidR="0086377E">
        <w:rPr>
          <w:lang w:val="mk-MK"/>
        </w:rPr>
        <w:t xml:space="preserve"> илјади </w:t>
      </w:r>
      <w:r w:rsidR="00A777E1">
        <w:rPr>
          <w:lang w:val="mk-MK"/>
        </w:rPr>
        <w:t xml:space="preserve">денари </w:t>
      </w:r>
      <w:r w:rsidR="00916D00">
        <w:rPr>
          <w:lang w:val="mk-MK"/>
        </w:rPr>
        <w:t>и се зголемени за 30</w:t>
      </w:r>
      <w:r w:rsidR="0096180F">
        <w:rPr>
          <w:lang w:val="mk-MK"/>
        </w:rPr>
        <w:t xml:space="preserve"> </w:t>
      </w:r>
      <w:r w:rsidR="00FD3323">
        <w:rPr>
          <w:lang w:val="mk-MK"/>
        </w:rPr>
        <w:t>%</w:t>
      </w:r>
      <w:r w:rsidR="0087219E">
        <w:rPr>
          <w:lang w:val="mk-MK"/>
        </w:rPr>
        <w:t xml:space="preserve"> во однос на истиот период од минатата година</w:t>
      </w:r>
      <w:r w:rsidR="00CB3C36">
        <w:rPr>
          <w:lang w:val="mk-MK"/>
        </w:rPr>
        <w:t>,</w:t>
      </w:r>
      <w:r w:rsidR="0096180F">
        <w:rPr>
          <w:lang w:val="mk-MK"/>
        </w:rPr>
        <w:t xml:space="preserve"> </w:t>
      </w:r>
      <w:r w:rsidR="00CB3C36">
        <w:rPr>
          <w:lang w:val="mk-MK"/>
        </w:rPr>
        <w:t xml:space="preserve">како </w:t>
      </w:r>
      <w:r w:rsidR="00CB3C36">
        <w:rPr>
          <w:lang w:val="mk-MK"/>
        </w:rPr>
        <w:lastRenderedPageBreak/>
        <w:t>резултат на</w:t>
      </w:r>
      <w:r w:rsidR="00D9568D">
        <w:rPr>
          <w:lang w:val="mk-MK"/>
        </w:rPr>
        <w:t xml:space="preserve"> </w:t>
      </w:r>
      <w:r w:rsidR="00916D00">
        <w:rPr>
          <w:lang w:val="mk-MK"/>
        </w:rPr>
        <w:t>интензивните</w:t>
      </w:r>
      <w:r w:rsidR="00CB3C36">
        <w:rPr>
          <w:lang w:val="mk-MK"/>
        </w:rPr>
        <w:t xml:space="preserve"> кредитни активности</w:t>
      </w:r>
      <w:r w:rsidR="0096180F">
        <w:rPr>
          <w:lang w:val="mk-MK"/>
        </w:rPr>
        <w:t xml:space="preserve"> и </w:t>
      </w:r>
      <w:r w:rsidR="00CB3C36">
        <w:rPr>
          <w:lang w:val="mk-MK"/>
        </w:rPr>
        <w:t>зголем</w:t>
      </w:r>
      <w:r w:rsidR="00387DF1">
        <w:rPr>
          <w:lang w:val="mk-MK"/>
        </w:rPr>
        <w:t>еното</w:t>
      </w:r>
      <w:r w:rsidR="00CB3C36">
        <w:rPr>
          <w:lang w:val="mk-MK"/>
        </w:rPr>
        <w:t xml:space="preserve"> </w:t>
      </w:r>
      <w:r w:rsidR="00323A8A">
        <w:rPr>
          <w:lang w:val="mk-MK"/>
        </w:rPr>
        <w:t>кредитно портфолио</w:t>
      </w:r>
      <w:r w:rsidR="00387DF1">
        <w:rPr>
          <w:lang w:val="mk-MK"/>
        </w:rPr>
        <w:t xml:space="preserve"> на Банката</w:t>
      </w:r>
      <w:r w:rsidR="0008409B">
        <w:rPr>
          <w:lang w:val="mk-MK"/>
        </w:rPr>
        <w:t xml:space="preserve"> и трендот на раст на </w:t>
      </w:r>
      <w:r w:rsidR="00072662">
        <w:rPr>
          <w:lang w:val="mk-MK"/>
        </w:rPr>
        <w:t xml:space="preserve">каматните стапки. </w:t>
      </w:r>
      <w:r w:rsidR="00087FE1">
        <w:rPr>
          <w:lang w:val="mk-MK"/>
        </w:rPr>
        <w:t xml:space="preserve"> </w:t>
      </w:r>
    </w:p>
    <w:p w14:paraId="607C9636" w14:textId="77777777" w:rsidR="00FD3323" w:rsidRDefault="00FD3323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269B8E07" w14:textId="09D4E82D" w:rsidR="00B9276D" w:rsidRDefault="00A77D0D">
      <w:pPr>
        <w:spacing w:after="0" w:line="240" w:lineRule="auto"/>
        <w:ind w:left="340" w:right="340" w:firstLine="380"/>
        <w:jc w:val="both"/>
        <w:rPr>
          <w:lang w:val="ru-RU"/>
        </w:rPr>
      </w:pPr>
      <w:r>
        <w:rPr>
          <w:b/>
          <w:lang w:val="mk-MK"/>
        </w:rPr>
        <w:t>Н</w:t>
      </w:r>
      <w:r w:rsidR="00CD0652" w:rsidRPr="008E7EC4">
        <w:rPr>
          <w:b/>
          <w:lang w:val="mk-MK"/>
        </w:rPr>
        <w:t>ето</w:t>
      </w:r>
      <w:r w:rsidR="00606E14">
        <w:rPr>
          <w:b/>
          <w:lang w:val="mk-MK"/>
        </w:rPr>
        <w:t>-</w:t>
      </w:r>
      <w:r w:rsidR="00CD0652" w:rsidRPr="008E7EC4">
        <w:rPr>
          <w:b/>
          <w:lang w:val="mk-MK"/>
        </w:rPr>
        <w:t>п</w:t>
      </w:r>
      <w:r w:rsidR="00841922" w:rsidRPr="008E7EC4">
        <w:rPr>
          <w:b/>
          <w:lang w:val="mk-MK"/>
        </w:rPr>
        <w:t>риходите</w:t>
      </w:r>
      <w:r w:rsidR="00841922">
        <w:rPr>
          <w:b/>
          <w:lang w:val="mk-MK"/>
        </w:rPr>
        <w:t xml:space="preserve"> од провизии и надоместоци</w:t>
      </w:r>
      <w:r w:rsidR="00606E14">
        <w:rPr>
          <w:b/>
          <w:lang w:val="mk-MK"/>
        </w:rPr>
        <w:t xml:space="preserve"> </w:t>
      </w:r>
      <w:r w:rsidR="00637046" w:rsidRPr="00D04063">
        <w:rPr>
          <w:lang w:val="mk-MK"/>
        </w:rPr>
        <w:t>изнесуваат</w:t>
      </w:r>
      <w:r w:rsidR="003C6668">
        <w:rPr>
          <w:lang w:val="mk-MK"/>
        </w:rPr>
        <w:t xml:space="preserve"> </w:t>
      </w:r>
      <w:r w:rsidR="00231BEC" w:rsidRPr="00A97410">
        <w:rPr>
          <w:lang w:val="mk-MK"/>
        </w:rPr>
        <w:t>207</w:t>
      </w:r>
      <w:r w:rsidR="0003701C">
        <w:rPr>
          <w:lang w:val="mk-MK"/>
        </w:rPr>
        <w:t>.</w:t>
      </w:r>
      <w:r w:rsidR="00231BEC">
        <w:rPr>
          <w:lang w:val="mk-MK"/>
        </w:rPr>
        <w:t>386</w:t>
      </w:r>
      <w:r w:rsidR="00606E14">
        <w:rPr>
          <w:lang w:val="mk-MK"/>
        </w:rPr>
        <w:t xml:space="preserve"> </w:t>
      </w:r>
      <w:r w:rsidR="00637046" w:rsidRPr="00D04063">
        <w:rPr>
          <w:lang w:val="mk-MK"/>
        </w:rPr>
        <w:t xml:space="preserve">илјади денари и се </w:t>
      </w:r>
      <w:r w:rsidR="00231BEC">
        <w:rPr>
          <w:lang w:val="mk-MK"/>
        </w:rPr>
        <w:t>намален</w:t>
      </w:r>
      <w:r w:rsidR="003C6668">
        <w:rPr>
          <w:lang w:val="mk-MK"/>
        </w:rPr>
        <w:t>и</w:t>
      </w:r>
      <w:r w:rsidR="00637046" w:rsidRPr="00D04063">
        <w:rPr>
          <w:lang w:val="mk-MK"/>
        </w:rPr>
        <w:t xml:space="preserve"> за </w:t>
      </w:r>
      <w:r w:rsidR="00231BEC">
        <w:rPr>
          <w:lang w:val="mk-MK"/>
        </w:rPr>
        <w:t>3</w:t>
      </w:r>
      <w:r w:rsidR="0096180F">
        <w:rPr>
          <w:lang w:val="mk-MK"/>
        </w:rPr>
        <w:t xml:space="preserve"> </w:t>
      </w:r>
      <w:r w:rsidR="00637046" w:rsidRPr="0091159E">
        <w:rPr>
          <w:lang w:val="mk-MK"/>
        </w:rPr>
        <w:t xml:space="preserve">% </w:t>
      </w:r>
      <w:r w:rsidR="00275CCF">
        <w:rPr>
          <w:lang w:val="mk-MK"/>
        </w:rPr>
        <w:t xml:space="preserve">во однос на </w:t>
      </w:r>
      <w:r w:rsidR="00235C9D">
        <w:rPr>
          <w:lang w:val="mk-MK"/>
        </w:rPr>
        <w:t>анализираниот период</w:t>
      </w:r>
      <w:r w:rsidR="00637046" w:rsidRPr="00D04063">
        <w:rPr>
          <w:lang w:val="mk-MK"/>
        </w:rPr>
        <w:t xml:space="preserve"> во 20</w:t>
      </w:r>
      <w:r w:rsidR="003C6668">
        <w:rPr>
          <w:lang w:val="mk-MK"/>
        </w:rPr>
        <w:t>2</w:t>
      </w:r>
      <w:r w:rsidR="00231BEC">
        <w:rPr>
          <w:lang w:val="mk-MK"/>
        </w:rPr>
        <w:t>2</w:t>
      </w:r>
      <w:r w:rsidR="00637046" w:rsidRPr="00D04063">
        <w:rPr>
          <w:lang w:val="mk-MK"/>
        </w:rPr>
        <w:t xml:space="preserve"> година</w:t>
      </w:r>
      <w:r w:rsidR="005D31DC">
        <w:rPr>
          <w:lang w:val="mk-MK"/>
        </w:rPr>
        <w:t xml:space="preserve">, </w:t>
      </w:r>
      <w:r w:rsidR="007205CA">
        <w:rPr>
          <w:lang w:val="mk-MK"/>
        </w:rPr>
        <w:t xml:space="preserve">што се должи </w:t>
      </w:r>
      <w:r w:rsidR="005D31DC">
        <w:rPr>
          <w:lang w:val="mk-MK"/>
        </w:rPr>
        <w:t xml:space="preserve"> на зголемени расходи од провизии поради повисоките трошоци </w:t>
      </w:r>
      <w:r w:rsidR="00E82CE9">
        <w:rPr>
          <w:lang w:val="mk-MK"/>
        </w:rPr>
        <w:t>за обезбедување на овие услуги, пред с</w:t>
      </w:r>
      <w:r w:rsidR="0096180F">
        <w:rPr>
          <w:rFonts w:cstheme="minorHAnsi"/>
          <w:lang w:val="mk-MK"/>
        </w:rPr>
        <w:t>è</w:t>
      </w:r>
      <w:r w:rsidR="00E82CE9">
        <w:rPr>
          <w:lang w:val="mk-MK"/>
        </w:rPr>
        <w:t xml:space="preserve"> во делот на платните и картичните трансакции.</w:t>
      </w:r>
    </w:p>
    <w:p w14:paraId="38A47869" w14:textId="77777777" w:rsidR="004D5039" w:rsidRDefault="004D5039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18AC3421" w14:textId="47DBB374" w:rsidR="00B9276D" w:rsidRDefault="00E21440">
      <w:pPr>
        <w:spacing w:after="0" w:line="240" w:lineRule="auto"/>
        <w:ind w:left="340" w:right="340" w:firstLine="380"/>
        <w:jc w:val="both"/>
        <w:rPr>
          <w:color w:val="FF0000"/>
          <w:lang w:val="mk-MK"/>
        </w:rPr>
      </w:pPr>
      <w:r w:rsidRPr="00E21440">
        <w:rPr>
          <w:b/>
          <w:lang w:val="mk-MK"/>
        </w:rPr>
        <w:t>Нето</w:t>
      </w:r>
      <w:r w:rsidR="00606E14">
        <w:rPr>
          <w:b/>
          <w:lang w:val="mk-MK"/>
        </w:rPr>
        <w:t>-</w:t>
      </w:r>
      <w:r w:rsidRPr="00E21440">
        <w:rPr>
          <w:b/>
          <w:lang w:val="mk-MK"/>
        </w:rPr>
        <w:t>приходите од курсни разлики</w:t>
      </w:r>
      <w:r w:rsidR="00F72E3F">
        <w:rPr>
          <w:lang w:val="mk-MK"/>
        </w:rPr>
        <w:t xml:space="preserve"> забележаа пораст од </w:t>
      </w:r>
      <w:r w:rsidR="00231BEC" w:rsidRPr="00A97410">
        <w:rPr>
          <w:lang w:val="mk-MK"/>
        </w:rPr>
        <w:t>9</w:t>
      </w:r>
      <w:r w:rsidR="0096180F">
        <w:rPr>
          <w:lang w:val="mk-MK"/>
        </w:rPr>
        <w:t xml:space="preserve"> </w:t>
      </w:r>
      <w:r w:rsidR="003E7AE6">
        <w:rPr>
          <w:lang w:val="mk-MK"/>
        </w:rPr>
        <w:t>%</w:t>
      </w:r>
      <w:r>
        <w:rPr>
          <w:lang w:val="mk-MK"/>
        </w:rPr>
        <w:t xml:space="preserve"> и изнесуваат </w:t>
      </w:r>
      <w:r w:rsidR="00231BEC" w:rsidRPr="00A97410">
        <w:rPr>
          <w:lang w:val="mk-MK"/>
        </w:rPr>
        <w:t>45</w:t>
      </w:r>
      <w:r w:rsidR="002E1F1D">
        <w:rPr>
          <w:lang w:val="mk-MK"/>
        </w:rPr>
        <w:t>.</w:t>
      </w:r>
      <w:r w:rsidR="00231BEC">
        <w:rPr>
          <w:lang w:val="mk-MK"/>
        </w:rPr>
        <w:t>279</w:t>
      </w:r>
      <w:r>
        <w:rPr>
          <w:lang w:val="mk-MK"/>
        </w:rPr>
        <w:t xml:space="preserve"> илјади</w:t>
      </w:r>
      <w:r w:rsidR="002E1F1D">
        <w:rPr>
          <w:lang w:val="mk-MK"/>
        </w:rPr>
        <w:t xml:space="preserve"> денари</w:t>
      </w:r>
      <w:r>
        <w:rPr>
          <w:lang w:val="mk-MK"/>
        </w:rPr>
        <w:t xml:space="preserve">, </w:t>
      </w:r>
      <w:r w:rsidR="00421088">
        <w:rPr>
          <w:lang w:val="mk-MK"/>
        </w:rPr>
        <w:t xml:space="preserve">како резултат на зголемениот </w:t>
      </w:r>
      <w:r w:rsidR="00C0512C">
        <w:rPr>
          <w:lang w:val="mk-MK"/>
        </w:rPr>
        <w:t>обем</w:t>
      </w:r>
      <w:r w:rsidR="00421088">
        <w:rPr>
          <w:lang w:val="mk-MK"/>
        </w:rPr>
        <w:t xml:space="preserve"> на тргувања на девизниот и менувачкиот пазар</w:t>
      </w:r>
      <w:r w:rsidR="00D317D4">
        <w:rPr>
          <w:lang w:val="mk-MK"/>
        </w:rPr>
        <w:t>.</w:t>
      </w:r>
    </w:p>
    <w:p w14:paraId="2158A39E" w14:textId="77777777" w:rsidR="007C7BC2" w:rsidRDefault="007C7BC2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60899EC4" w14:textId="77777777" w:rsidR="00B9276D" w:rsidRDefault="00695E5A">
      <w:pPr>
        <w:spacing w:after="0" w:line="240" w:lineRule="auto"/>
        <w:ind w:left="340" w:right="340" w:firstLine="380"/>
        <w:jc w:val="both"/>
        <w:rPr>
          <w:lang w:val="mk-MK"/>
        </w:rPr>
      </w:pPr>
      <w:r w:rsidRPr="00D04063">
        <w:rPr>
          <w:b/>
          <w:lang w:val="mk-MK"/>
        </w:rPr>
        <w:t>Останатите приходи од дејноста</w:t>
      </w:r>
      <w:r w:rsidR="00606E14">
        <w:rPr>
          <w:b/>
          <w:lang w:val="mk-MK"/>
        </w:rPr>
        <w:t xml:space="preserve"> </w:t>
      </w:r>
      <w:r w:rsidR="00231BEC">
        <w:rPr>
          <w:lang w:val="mk-MK"/>
        </w:rPr>
        <w:t>изнесуваат 12</w:t>
      </w:r>
      <w:r w:rsidR="00725CA1">
        <w:rPr>
          <w:lang w:val="mk-MK"/>
        </w:rPr>
        <w:t>3</w:t>
      </w:r>
      <w:r w:rsidR="002E1F1D">
        <w:rPr>
          <w:lang w:val="mk-MK"/>
        </w:rPr>
        <w:t>.</w:t>
      </w:r>
      <w:r w:rsidR="00231BEC">
        <w:rPr>
          <w:lang w:val="mk-MK"/>
        </w:rPr>
        <w:t>289</w:t>
      </w:r>
      <w:r w:rsidR="003A3E63">
        <w:rPr>
          <w:lang w:val="mk-MK"/>
        </w:rPr>
        <w:t xml:space="preserve"> илјади</w:t>
      </w:r>
      <w:r w:rsidR="002E1F1D">
        <w:rPr>
          <w:lang w:val="mk-MK"/>
        </w:rPr>
        <w:t xml:space="preserve"> денари.</w:t>
      </w:r>
    </w:p>
    <w:p w14:paraId="1A9CB227" w14:textId="77777777" w:rsidR="00D54C23" w:rsidRDefault="00D54C23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086B39B2" w14:textId="2B5B9A5C" w:rsidR="00231BEC" w:rsidRPr="00231BEC" w:rsidRDefault="00231BEC" w:rsidP="00231BEC">
      <w:pPr>
        <w:spacing w:after="0" w:line="240" w:lineRule="auto"/>
        <w:ind w:left="340" w:right="340" w:firstLine="380"/>
        <w:jc w:val="both"/>
        <w:rPr>
          <w:rFonts w:ascii="Calibri" w:eastAsia="Calibri" w:hAnsi="Calibri" w:cs="Times New Roman"/>
          <w:lang w:val="ru-RU"/>
        </w:rPr>
      </w:pPr>
      <w:r w:rsidRPr="00231BEC">
        <w:rPr>
          <w:rFonts w:ascii="Calibri" w:eastAsia="Calibri" w:hAnsi="Calibri" w:cs="Times New Roman"/>
          <w:lang w:val="mk-MK"/>
        </w:rPr>
        <w:t xml:space="preserve">И покрај ценовните флуктуации и високата инфлација, Банката успеа да ги ограничи оперативните трошоци од работењето и да ги одржи на релативно стабилно ниво, при што </w:t>
      </w:r>
      <w:r w:rsidR="004B3525">
        <w:rPr>
          <w:rFonts w:ascii="Calibri" w:eastAsia="Calibri" w:hAnsi="Calibri" w:cs="Times New Roman"/>
          <w:lang w:val="mk-MK"/>
        </w:rPr>
        <w:t xml:space="preserve"> на 31.03.2023</w:t>
      </w:r>
      <w:r w:rsidR="007205CA">
        <w:rPr>
          <w:rFonts w:ascii="Calibri" w:eastAsia="Calibri" w:hAnsi="Calibri" w:cs="Times New Roman"/>
          <w:lang w:val="mk-MK"/>
        </w:rPr>
        <w:t xml:space="preserve"> година</w:t>
      </w:r>
      <w:r w:rsidR="004B3525">
        <w:rPr>
          <w:rFonts w:ascii="Calibri" w:eastAsia="Calibri" w:hAnsi="Calibri" w:cs="Times New Roman"/>
          <w:lang w:val="mk-MK"/>
        </w:rPr>
        <w:t xml:space="preserve"> </w:t>
      </w:r>
      <w:r w:rsidRPr="00231BEC">
        <w:rPr>
          <w:rFonts w:ascii="Calibri" w:eastAsia="Calibri" w:hAnsi="Calibri" w:cs="Times New Roman"/>
          <w:b/>
          <w:lang w:val="mk-MK"/>
        </w:rPr>
        <w:t xml:space="preserve">трошоците за вработени </w:t>
      </w:r>
      <w:r w:rsidRPr="00231BEC">
        <w:rPr>
          <w:rFonts w:ascii="Calibri" w:eastAsia="Calibri" w:hAnsi="Calibri" w:cs="Times New Roman"/>
          <w:lang w:val="mk-MK"/>
        </w:rPr>
        <w:t xml:space="preserve">изнесуваат </w:t>
      </w:r>
      <w:r>
        <w:rPr>
          <w:rFonts w:ascii="Calibri" w:eastAsia="Calibri" w:hAnsi="Calibri" w:cs="Times New Roman"/>
          <w:lang w:val="mk-MK"/>
        </w:rPr>
        <w:t>250</w:t>
      </w:r>
      <w:r w:rsidRPr="00231BEC">
        <w:rPr>
          <w:rFonts w:ascii="Calibri" w:eastAsia="Calibri" w:hAnsi="Calibri" w:cs="Times New Roman"/>
          <w:lang w:val="mk-MK"/>
        </w:rPr>
        <w:t>.</w:t>
      </w:r>
      <w:r>
        <w:rPr>
          <w:rFonts w:ascii="Calibri" w:eastAsia="Calibri" w:hAnsi="Calibri" w:cs="Times New Roman"/>
          <w:lang w:val="mk-MK"/>
        </w:rPr>
        <w:t>062</w:t>
      </w:r>
      <w:r w:rsidRPr="00231BEC">
        <w:rPr>
          <w:rFonts w:ascii="Calibri" w:eastAsia="Calibri" w:hAnsi="Calibri" w:cs="Times New Roman"/>
          <w:lang w:val="mk-MK"/>
        </w:rPr>
        <w:t xml:space="preserve"> илјади денари, додека </w:t>
      </w:r>
      <w:r w:rsidRPr="00231BEC">
        <w:rPr>
          <w:rFonts w:ascii="Calibri" w:eastAsia="Calibri" w:hAnsi="Calibri" w:cs="Times New Roman"/>
          <w:b/>
          <w:lang w:val="mk-MK"/>
        </w:rPr>
        <w:t>оперативните трошоци</w:t>
      </w:r>
      <w:r>
        <w:rPr>
          <w:rFonts w:ascii="Calibri" w:eastAsia="Calibri" w:hAnsi="Calibri" w:cs="Times New Roman"/>
          <w:lang w:val="mk-MK"/>
        </w:rPr>
        <w:t xml:space="preserve"> изнесуваат 229</w:t>
      </w:r>
      <w:r w:rsidRPr="00231BEC">
        <w:rPr>
          <w:rFonts w:ascii="Calibri" w:eastAsia="Calibri" w:hAnsi="Calibri" w:cs="Times New Roman"/>
          <w:lang w:val="mk-MK"/>
        </w:rPr>
        <w:t>.</w:t>
      </w:r>
      <w:r>
        <w:rPr>
          <w:rFonts w:ascii="Calibri" w:eastAsia="Calibri" w:hAnsi="Calibri" w:cs="Times New Roman"/>
          <w:lang w:val="mk-MK"/>
        </w:rPr>
        <w:t>115</w:t>
      </w:r>
      <w:r w:rsidRPr="00231BEC">
        <w:rPr>
          <w:rFonts w:ascii="Calibri" w:eastAsia="Calibri" w:hAnsi="Calibri" w:cs="Times New Roman"/>
          <w:lang w:val="mk-MK"/>
        </w:rPr>
        <w:t xml:space="preserve"> илјади денари.</w:t>
      </w:r>
    </w:p>
    <w:p w14:paraId="149105A2" w14:textId="77777777" w:rsidR="00B81CAA" w:rsidRPr="00A97410" w:rsidRDefault="00B81CAA" w:rsidP="00D54C23">
      <w:pPr>
        <w:spacing w:after="0" w:line="240" w:lineRule="auto"/>
        <w:ind w:right="340"/>
        <w:jc w:val="both"/>
        <w:rPr>
          <w:b/>
          <w:lang w:val="mk-MK"/>
        </w:rPr>
      </w:pPr>
    </w:p>
    <w:p w14:paraId="1A91D286" w14:textId="4CE85A75" w:rsidR="00B9276D" w:rsidRDefault="004062D4">
      <w:pPr>
        <w:spacing w:after="0" w:line="240" w:lineRule="auto"/>
        <w:ind w:left="340" w:right="340" w:firstLine="380"/>
        <w:jc w:val="both"/>
        <w:rPr>
          <w:lang w:val="mk-MK"/>
        </w:rPr>
      </w:pPr>
      <w:r w:rsidRPr="00F04219">
        <w:rPr>
          <w:lang w:val="mk-MK"/>
        </w:rPr>
        <w:t>Во анализираниот период,</w:t>
      </w:r>
      <w:r w:rsidR="007205CA">
        <w:rPr>
          <w:lang w:val="mk-MK"/>
        </w:rPr>
        <w:t xml:space="preserve"> врз основа на прудентниот пристап во управувањето со ризиците,</w:t>
      </w:r>
      <w:r w:rsidR="008B5D4D">
        <w:rPr>
          <w:lang w:val="mk-MK"/>
        </w:rPr>
        <w:t xml:space="preserve"> </w:t>
      </w:r>
      <w:r w:rsidRPr="00F04219">
        <w:rPr>
          <w:lang w:val="mk-MK"/>
        </w:rPr>
        <w:t>Б</w:t>
      </w:r>
      <w:r>
        <w:rPr>
          <w:lang w:val="mk-MK"/>
        </w:rPr>
        <w:t>анката</w:t>
      </w:r>
      <w:r w:rsidRPr="00F04219">
        <w:rPr>
          <w:lang w:val="mk-MK"/>
        </w:rPr>
        <w:t xml:space="preserve"> издвои</w:t>
      </w:r>
      <w:r w:rsidR="00606E14">
        <w:rPr>
          <w:lang w:val="mk-MK"/>
        </w:rPr>
        <w:t xml:space="preserve"> </w:t>
      </w:r>
      <w:r w:rsidRPr="00F04219">
        <w:rPr>
          <w:b/>
          <w:lang w:val="mk-MK"/>
        </w:rPr>
        <w:t>исправка на вредност на финансиските средства</w:t>
      </w:r>
      <w:r w:rsidR="00606E14">
        <w:rPr>
          <w:b/>
          <w:lang w:val="mk-MK"/>
        </w:rPr>
        <w:t xml:space="preserve"> </w:t>
      </w:r>
      <w:r w:rsidRPr="00F04219">
        <w:rPr>
          <w:b/>
          <w:lang w:val="mk-MK"/>
        </w:rPr>
        <w:t>и посебна резерва за вонбила</w:t>
      </w:r>
      <w:r w:rsidR="00302A63">
        <w:rPr>
          <w:b/>
          <w:lang w:val="mk-MK"/>
        </w:rPr>
        <w:t>нсн</w:t>
      </w:r>
      <w:r w:rsidRPr="00F04219">
        <w:rPr>
          <w:b/>
          <w:lang w:val="mk-MK"/>
        </w:rPr>
        <w:t>а изложеност, на нето</w:t>
      </w:r>
      <w:r>
        <w:rPr>
          <w:b/>
          <w:lang w:val="mk-MK"/>
        </w:rPr>
        <w:t>-</w:t>
      </w:r>
      <w:r w:rsidRPr="00F04219">
        <w:rPr>
          <w:b/>
          <w:lang w:val="mk-MK"/>
        </w:rPr>
        <w:t>основа</w:t>
      </w:r>
      <w:r>
        <w:rPr>
          <w:b/>
          <w:lang w:val="mk-MK"/>
        </w:rPr>
        <w:t>,</w:t>
      </w:r>
      <w:r w:rsidR="0047119F">
        <w:rPr>
          <w:lang w:val="mk-MK"/>
        </w:rPr>
        <w:t xml:space="preserve"> во износ од </w:t>
      </w:r>
      <w:r w:rsidR="00274341">
        <w:rPr>
          <w:lang w:val="mk-MK"/>
        </w:rPr>
        <w:t>375</w:t>
      </w:r>
      <w:r w:rsidR="0003701C">
        <w:rPr>
          <w:lang w:val="mk-MK"/>
        </w:rPr>
        <w:t>.</w:t>
      </w:r>
      <w:r w:rsidR="00274341">
        <w:rPr>
          <w:lang w:val="mk-MK"/>
        </w:rPr>
        <w:t>149</w:t>
      </w:r>
      <w:r w:rsidR="0003701C">
        <w:rPr>
          <w:lang w:val="mk-MK"/>
        </w:rPr>
        <w:t xml:space="preserve"> </w:t>
      </w:r>
      <w:r w:rsidRPr="00F04219">
        <w:rPr>
          <w:lang w:val="mk-MK"/>
        </w:rPr>
        <w:t>илјади денари</w:t>
      </w:r>
      <w:r w:rsidR="007205CA">
        <w:rPr>
          <w:lang w:val="mk-MK"/>
        </w:rPr>
        <w:t>.</w:t>
      </w:r>
      <w:r>
        <w:rPr>
          <w:lang w:val="mk-MK"/>
        </w:rPr>
        <w:t xml:space="preserve"> </w:t>
      </w:r>
    </w:p>
    <w:p w14:paraId="67461AC5" w14:textId="77777777" w:rsidR="005D31DC" w:rsidRDefault="005D31DC">
      <w:pPr>
        <w:spacing w:after="0" w:line="240" w:lineRule="auto"/>
        <w:ind w:left="340" w:right="340" w:firstLine="380"/>
        <w:jc w:val="both"/>
        <w:rPr>
          <w:lang w:val="mk-MK"/>
        </w:rPr>
      </w:pPr>
    </w:p>
    <w:p w14:paraId="077DEB56" w14:textId="1307B32C" w:rsidR="007C7BC2" w:rsidRDefault="005D31DC" w:rsidP="00302A63">
      <w:pPr>
        <w:spacing w:after="0" w:line="240" w:lineRule="auto"/>
        <w:ind w:left="340" w:right="340" w:firstLine="380"/>
        <w:jc w:val="both"/>
        <w:rPr>
          <w:lang w:val="ru-RU"/>
        </w:rPr>
      </w:pPr>
      <w:r>
        <w:rPr>
          <w:lang w:val="ru-RU"/>
        </w:rPr>
        <w:t>Како резултат на сето наведено,</w:t>
      </w:r>
      <w:r w:rsidR="007205CA">
        <w:rPr>
          <w:lang w:val="ru-RU"/>
        </w:rPr>
        <w:t xml:space="preserve"> остварената</w:t>
      </w:r>
      <w:r>
        <w:rPr>
          <w:lang w:val="ru-RU"/>
        </w:rPr>
        <w:t xml:space="preserve"> </w:t>
      </w:r>
      <w:r w:rsidRPr="005D31DC">
        <w:rPr>
          <w:b/>
          <w:bCs/>
          <w:lang w:val="ru-RU"/>
        </w:rPr>
        <w:t>добивка пред оданочување</w:t>
      </w:r>
      <w:r w:rsidR="00302A63">
        <w:rPr>
          <w:b/>
          <w:bCs/>
          <w:lang w:val="ru-RU"/>
        </w:rPr>
        <w:t xml:space="preserve"> и резервации </w:t>
      </w:r>
      <w:r w:rsidRPr="005D31DC">
        <w:rPr>
          <w:b/>
          <w:bCs/>
          <w:lang w:val="ru-RU"/>
        </w:rPr>
        <w:t xml:space="preserve"> изнесува </w:t>
      </w:r>
      <w:r w:rsidR="00302A63">
        <w:rPr>
          <w:b/>
          <w:bCs/>
          <w:lang w:val="ru-RU"/>
        </w:rPr>
        <w:t>1.151.593</w:t>
      </w:r>
      <w:r>
        <w:rPr>
          <w:lang w:val="ru-RU"/>
        </w:rPr>
        <w:t xml:space="preserve"> </w:t>
      </w:r>
      <w:r w:rsidRPr="005D31DC">
        <w:rPr>
          <w:b/>
          <w:bCs/>
          <w:lang w:val="ru-RU"/>
        </w:rPr>
        <w:t>илјади денар</w:t>
      </w:r>
      <w:r w:rsidR="00302A63">
        <w:rPr>
          <w:b/>
          <w:bCs/>
          <w:lang w:val="ru-RU"/>
        </w:rPr>
        <w:t>и</w:t>
      </w:r>
      <w:r w:rsidR="006A6188">
        <w:rPr>
          <w:b/>
          <w:bCs/>
          <w:lang w:val="ru-RU"/>
        </w:rPr>
        <w:t xml:space="preserve">, </w:t>
      </w:r>
      <w:r w:rsidR="007205CA">
        <w:rPr>
          <w:lang w:val="ru-RU"/>
        </w:rPr>
        <w:t xml:space="preserve">додека добивката пред оданочување на 31.03.2023 година </w:t>
      </w:r>
      <w:r w:rsidR="00570A99">
        <w:rPr>
          <w:lang w:val="ru-RU"/>
        </w:rPr>
        <w:t>изнесува</w:t>
      </w:r>
      <w:r w:rsidR="007205CA" w:rsidRPr="007205CA">
        <w:rPr>
          <w:lang w:val="mk-MK"/>
        </w:rPr>
        <w:t xml:space="preserve"> </w:t>
      </w:r>
      <w:r w:rsidR="007205CA" w:rsidRPr="00645F83">
        <w:rPr>
          <w:lang w:val="mk-MK"/>
        </w:rPr>
        <w:t>776.444</w:t>
      </w:r>
      <w:r w:rsidR="007205CA">
        <w:rPr>
          <w:lang w:val="mk-MK"/>
        </w:rPr>
        <w:t xml:space="preserve"> илјади денари, што е за 5</w:t>
      </w:r>
      <w:r w:rsidR="0096180F">
        <w:rPr>
          <w:lang w:val="mk-MK"/>
        </w:rPr>
        <w:t xml:space="preserve"> </w:t>
      </w:r>
      <w:r w:rsidR="007205CA">
        <w:rPr>
          <w:lang w:val="mk-MK"/>
        </w:rPr>
        <w:t>% повисоко во однос на истиот период</w:t>
      </w:r>
      <w:r w:rsidR="00072662">
        <w:rPr>
          <w:lang w:val="mk-MK"/>
        </w:rPr>
        <w:t xml:space="preserve"> од</w:t>
      </w:r>
      <w:r w:rsidR="007205CA">
        <w:rPr>
          <w:lang w:val="mk-MK"/>
        </w:rPr>
        <w:t xml:space="preserve"> минатата година.</w:t>
      </w:r>
    </w:p>
    <w:p w14:paraId="04B9E7B6" w14:textId="77777777" w:rsidR="00B71EB6" w:rsidRPr="00F03339" w:rsidRDefault="00B71EB6" w:rsidP="00302A63">
      <w:pPr>
        <w:spacing w:after="0" w:line="240" w:lineRule="auto"/>
        <w:ind w:left="340" w:right="340" w:firstLine="380"/>
        <w:jc w:val="both"/>
        <w:rPr>
          <w:lang w:val="mk-MK"/>
        </w:rPr>
      </w:pPr>
    </w:p>
    <w:p w14:paraId="6AFADDB2" w14:textId="77777777" w:rsidR="005E4D7F" w:rsidRPr="005B1D09" w:rsidRDefault="005E4D7F" w:rsidP="00212A2C">
      <w:pPr>
        <w:spacing w:after="0" w:line="240" w:lineRule="auto"/>
        <w:ind w:right="340"/>
        <w:jc w:val="both"/>
        <w:rPr>
          <w:b/>
          <w:lang w:val="mk-MK"/>
        </w:rPr>
      </w:pPr>
    </w:p>
    <w:p w14:paraId="3517F8CA" w14:textId="77777777" w:rsidR="00E26364" w:rsidRDefault="002847EC" w:rsidP="00BE0206">
      <w:pPr>
        <w:spacing w:after="0" w:line="240" w:lineRule="auto"/>
        <w:ind w:left="340" w:right="340"/>
        <w:jc w:val="both"/>
        <w:rPr>
          <w:b/>
          <w:lang w:val="mk-MK"/>
        </w:rPr>
      </w:pPr>
      <w:r w:rsidRPr="003D709E">
        <w:rPr>
          <w:b/>
          <w:lang w:val="mk-MK"/>
        </w:rPr>
        <w:t>Биланс</w:t>
      </w:r>
      <w:r w:rsidR="00E26364" w:rsidRPr="003D709E">
        <w:rPr>
          <w:b/>
          <w:lang w:val="mk-MK"/>
        </w:rPr>
        <w:t xml:space="preserve"> на</w:t>
      </w:r>
      <w:r w:rsidR="00E26364" w:rsidRPr="00D04063">
        <w:rPr>
          <w:b/>
          <w:lang w:val="mk-MK"/>
        </w:rPr>
        <w:t xml:space="preserve"> состојба</w:t>
      </w:r>
    </w:p>
    <w:p w14:paraId="73B0326C" w14:textId="77777777" w:rsidR="00350CDF" w:rsidRDefault="00350CDF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498B5FA8" w14:textId="4A4E53A2" w:rsidR="00B9276D" w:rsidRPr="00A97410" w:rsidRDefault="00E26364">
      <w:pPr>
        <w:spacing w:after="0" w:line="240" w:lineRule="auto"/>
        <w:ind w:left="340" w:right="340" w:firstLine="380"/>
        <w:jc w:val="both"/>
        <w:rPr>
          <w:lang w:val="mk-MK"/>
        </w:rPr>
      </w:pPr>
      <w:r w:rsidRPr="00D04063">
        <w:rPr>
          <w:b/>
          <w:lang w:val="mk-MK"/>
        </w:rPr>
        <w:t>Вкупната актива</w:t>
      </w:r>
      <w:r w:rsidR="007205CA">
        <w:rPr>
          <w:b/>
          <w:lang w:val="mk-MK"/>
        </w:rPr>
        <w:t xml:space="preserve"> на Банката</w:t>
      </w:r>
      <w:r w:rsidR="00CC11E0">
        <w:rPr>
          <w:lang w:val="mk-MK"/>
        </w:rPr>
        <w:t xml:space="preserve"> изнесува</w:t>
      </w:r>
      <w:r w:rsidR="00B81CAA">
        <w:rPr>
          <w:lang w:val="mk-MK"/>
        </w:rPr>
        <w:t xml:space="preserve"> </w:t>
      </w:r>
      <w:r w:rsidR="009B2CBE">
        <w:rPr>
          <w:lang w:val="mk-MK"/>
        </w:rPr>
        <w:t>121</w:t>
      </w:r>
      <w:r w:rsidR="0003701C">
        <w:rPr>
          <w:lang w:val="mk-MK"/>
        </w:rPr>
        <w:t>.</w:t>
      </w:r>
      <w:r w:rsidR="009B2CBE">
        <w:rPr>
          <w:lang w:val="mk-MK"/>
        </w:rPr>
        <w:t>240</w:t>
      </w:r>
      <w:r w:rsidR="0003701C">
        <w:rPr>
          <w:lang w:val="mk-MK"/>
        </w:rPr>
        <w:t>.</w:t>
      </w:r>
      <w:r w:rsidR="009B2CBE">
        <w:rPr>
          <w:lang w:val="mk-MK"/>
        </w:rPr>
        <w:t>794</w:t>
      </w:r>
      <w:r w:rsidR="008B5D4D">
        <w:rPr>
          <w:lang w:val="mk-MK"/>
        </w:rPr>
        <w:t xml:space="preserve"> </w:t>
      </w:r>
      <w:r w:rsidRPr="00D04063">
        <w:rPr>
          <w:lang w:val="mk-MK"/>
        </w:rPr>
        <w:t>илјади денари</w:t>
      </w:r>
      <w:r w:rsidR="007205CA">
        <w:rPr>
          <w:lang w:val="mk-MK"/>
        </w:rPr>
        <w:t>.</w:t>
      </w:r>
    </w:p>
    <w:p w14:paraId="02E184C7" w14:textId="77777777" w:rsidR="00B81CAA" w:rsidRDefault="00B81CAA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20AF8A7B" w14:textId="0CBC8BF0" w:rsidR="00B9276D" w:rsidRPr="00E82CE9" w:rsidRDefault="00EF5D36">
      <w:pPr>
        <w:spacing w:after="0" w:line="240" w:lineRule="auto"/>
        <w:ind w:left="340" w:right="340" w:firstLine="380"/>
        <w:jc w:val="both"/>
        <w:rPr>
          <w:lang w:val="mk-MK"/>
        </w:rPr>
      </w:pPr>
      <w:r w:rsidRPr="00043BB8">
        <w:rPr>
          <w:b/>
          <w:lang w:val="mk-MK"/>
        </w:rPr>
        <w:t>П</w:t>
      </w:r>
      <w:r w:rsidR="00A11356" w:rsidRPr="00043BB8">
        <w:rPr>
          <w:b/>
          <w:lang w:val="mk-MK"/>
        </w:rPr>
        <w:t>аричните средства и парични еквиваленти</w:t>
      </w:r>
      <w:r w:rsidR="00606E14" w:rsidRPr="00043BB8">
        <w:rPr>
          <w:b/>
          <w:lang w:val="mk-MK"/>
        </w:rPr>
        <w:t xml:space="preserve"> </w:t>
      </w:r>
      <w:r w:rsidRPr="00043BB8">
        <w:rPr>
          <w:lang w:val="mk-MK"/>
        </w:rPr>
        <w:t>спореден</w:t>
      </w:r>
      <w:r w:rsidR="00092CFC" w:rsidRPr="00043BB8">
        <w:rPr>
          <w:lang w:val="mk-MK"/>
        </w:rPr>
        <w:t>и</w:t>
      </w:r>
      <w:r w:rsidRPr="00043BB8">
        <w:rPr>
          <w:lang w:val="mk-MK"/>
        </w:rPr>
        <w:t xml:space="preserve"> со крајот на </w:t>
      </w:r>
      <w:r w:rsidR="001B5BD1" w:rsidRPr="00043BB8">
        <w:rPr>
          <w:lang w:val="mk-MK"/>
        </w:rPr>
        <w:t>202</w:t>
      </w:r>
      <w:r w:rsidR="009B2CBE" w:rsidRPr="00A97410">
        <w:rPr>
          <w:lang w:val="mk-MK"/>
        </w:rPr>
        <w:t>2</w:t>
      </w:r>
      <w:r w:rsidR="00A11356" w:rsidRPr="00043BB8">
        <w:rPr>
          <w:lang w:val="mk-MK"/>
        </w:rPr>
        <w:t xml:space="preserve"> година се по</w:t>
      </w:r>
      <w:r w:rsidR="00817BBD" w:rsidRPr="00043BB8">
        <w:rPr>
          <w:lang w:val="mk-MK"/>
        </w:rPr>
        <w:t>ниски</w:t>
      </w:r>
      <w:r w:rsidR="00A11356" w:rsidRPr="00043BB8">
        <w:rPr>
          <w:lang w:val="mk-MK"/>
        </w:rPr>
        <w:t xml:space="preserve"> за </w:t>
      </w:r>
      <w:r w:rsidR="009B2CBE">
        <w:rPr>
          <w:lang w:val="mk-MK"/>
        </w:rPr>
        <w:t>3</w:t>
      </w:r>
      <w:r w:rsidR="00043BB8" w:rsidRPr="00043BB8">
        <w:rPr>
          <w:lang w:val="mk-MK"/>
        </w:rPr>
        <w:t>.</w:t>
      </w:r>
      <w:r w:rsidR="009B2CBE">
        <w:rPr>
          <w:lang w:val="mk-MK"/>
        </w:rPr>
        <w:t>410</w:t>
      </w:r>
      <w:r w:rsidR="00043BB8" w:rsidRPr="00043BB8">
        <w:rPr>
          <w:lang w:val="mk-MK"/>
        </w:rPr>
        <w:t>.</w:t>
      </w:r>
      <w:r w:rsidR="009B2CBE">
        <w:rPr>
          <w:lang w:val="mk-MK"/>
        </w:rPr>
        <w:t>756</w:t>
      </w:r>
      <w:r w:rsidR="008B5D4D" w:rsidRPr="00043BB8">
        <w:rPr>
          <w:lang w:val="mk-MK"/>
        </w:rPr>
        <w:t xml:space="preserve"> </w:t>
      </w:r>
      <w:r w:rsidRPr="00043BB8">
        <w:rPr>
          <w:lang w:val="mk-MK"/>
        </w:rPr>
        <w:t>илјади денари</w:t>
      </w:r>
      <w:r w:rsidR="008B5D4D" w:rsidRPr="00043BB8">
        <w:rPr>
          <w:lang w:val="mk-MK"/>
        </w:rPr>
        <w:t>,</w:t>
      </w:r>
      <w:r w:rsidR="008B2405">
        <w:rPr>
          <w:lang w:val="mk-MK"/>
        </w:rPr>
        <w:t xml:space="preserve"> што се должи на </w:t>
      </w:r>
      <w:r w:rsidR="000D3C33">
        <w:rPr>
          <w:lang w:val="mk-MK"/>
        </w:rPr>
        <w:t xml:space="preserve">редовна </w:t>
      </w:r>
      <w:r w:rsidR="008B2405">
        <w:rPr>
          <w:lang w:val="mk-MK"/>
        </w:rPr>
        <w:t xml:space="preserve">сезонска </w:t>
      </w:r>
      <w:r w:rsidR="000D3C33">
        <w:rPr>
          <w:lang w:val="mk-MK"/>
        </w:rPr>
        <w:t>флуктуација на средствата на некои од поголемите депоненти на Банката.</w:t>
      </w:r>
    </w:p>
    <w:p w14:paraId="09604F68" w14:textId="77777777" w:rsidR="00755A92" w:rsidRDefault="00755A92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4ED2EE2B" w14:textId="77777777" w:rsidR="00B9276D" w:rsidRDefault="00755A92">
      <w:pPr>
        <w:spacing w:after="0" w:line="240" w:lineRule="auto"/>
        <w:ind w:left="340" w:right="340" w:firstLine="380"/>
        <w:jc w:val="both"/>
        <w:rPr>
          <w:lang w:val="mk-MK"/>
        </w:rPr>
      </w:pPr>
      <w:r>
        <w:rPr>
          <w:b/>
          <w:lang w:val="mk-MK"/>
        </w:rPr>
        <w:t>Кредитите на и побарувања од други комитенти</w:t>
      </w:r>
      <w:r w:rsidR="008B5D4D">
        <w:rPr>
          <w:b/>
          <w:lang w:val="mk-MK"/>
        </w:rPr>
        <w:t xml:space="preserve"> </w:t>
      </w:r>
      <w:r w:rsidR="003E7AE6">
        <w:rPr>
          <w:b/>
          <w:lang w:val="mk-MK"/>
        </w:rPr>
        <w:t>нето</w:t>
      </w:r>
      <w:r w:rsidR="008B5D4D">
        <w:rPr>
          <w:b/>
          <w:lang w:val="mk-MK"/>
        </w:rPr>
        <w:t xml:space="preserve"> </w:t>
      </w:r>
      <w:r w:rsidR="00016CF2">
        <w:rPr>
          <w:lang w:val="mk-MK"/>
        </w:rPr>
        <w:t xml:space="preserve">изнесуваат </w:t>
      </w:r>
      <w:r w:rsidR="0070479F">
        <w:rPr>
          <w:lang w:val="mk-MK"/>
        </w:rPr>
        <w:t>8</w:t>
      </w:r>
      <w:r w:rsidR="00917885">
        <w:rPr>
          <w:lang w:val="mk-MK"/>
        </w:rPr>
        <w:t>6</w:t>
      </w:r>
      <w:r w:rsidR="00043BB8">
        <w:rPr>
          <w:lang w:val="mk-MK"/>
        </w:rPr>
        <w:t>.</w:t>
      </w:r>
      <w:r w:rsidR="00917885">
        <w:rPr>
          <w:lang w:val="mk-MK"/>
        </w:rPr>
        <w:t>445</w:t>
      </w:r>
      <w:r w:rsidR="00043BB8">
        <w:rPr>
          <w:lang w:val="mk-MK"/>
        </w:rPr>
        <w:t>.</w:t>
      </w:r>
      <w:r w:rsidR="00917885">
        <w:rPr>
          <w:lang w:val="mk-MK"/>
        </w:rPr>
        <w:t>863</w:t>
      </w:r>
      <w:r w:rsidR="00016CF2">
        <w:rPr>
          <w:lang w:val="mk-MK"/>
        </w:rPr>
        <w:t xml:space="preserve"> илјади</w:t>
      </w:r>
      <w:r w:rsidR="00043BB8">
        <w:rPr>
          <w:lang w:val="mk-MK"/>
        </w:rPr>
        <w:t xml:space="preserve"> денари</w:t>
      </w:r>
      <w:r w:rsidR="00F13E9B">
        <w:rPr>
          <w:lang w:val="mk-MK"/>
        </w:rPr>
        <w:t xml:space="preserve"> и се</w:t>
      </w:r>
      <w:r w:rsidR="00917885">
        <w:rPr>
          <w:lang w:val="mk-MK"/>
        </w:rPr>
        <w:t xml:space="preserve"> приближно на исто ниво</w:t>
      </w:r>
      <w:r w:rsidR="00387DF1" w:rsidRPr="00990A08">
        <w:rPr>
          <w:lang w:val="mk-MK"/>
        </w:rPr>
        <w:t xml:space="preserve"> </w:t>
      </w:r>
      <w:r w:rsidR="00917885">
        <w:rPr>
          <w:lang w:val="mk-MK"/>
        </w:rPr>
        <w:t>в</w:t>
      </w:r>
      <w:r w:rsidR="00387DF1" w:rsidRPr="00990A08">
        <w:rPr>
          <w:lang w:val="mk-MK"/>
        </w:rPr>
        <w:t xml:space="preserve">о однос на </w:t>
      </w:r>
      <w:r w:rsidR="00917885">
        <w:rPr>
          <w:lang w:val="mk-MK"/>
        </w:rPr>
        <w:t>крајот од минатата година</w:t>
      </w:r>
      <w:r w:rsidR="00E15606" w:rsidRPr="00990A08">
        <w:rPr>
          <w:lang w:val="mk-MK"/>
        </w:rPr>
        <w:t>.</w:t>
      </w:r>
    </w:p>
    <w:p w14:paraId="0D07D9F7" w14:textId="77777777" w:rsidR="00816F65" w:rsidRDefault="00816F65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01419341" w14:textId="645FC4D9" w:rsidR="00917885" w:rsidRDefault="0001521C" w:rsidP="00917885">
      <w:pPr>
        <w:spacing w:after="0" w:line="240" w:lineRule="auto"/>
        <w:ind w:left="340" w:right="340" w:firstLine="380"/>
        <w:jc w:val="both"/>
        <w:rPr>
          <w:lang w:val="mk-MK"/>
        </w:rPr>
      </w:pPr>
      <w:r w:rsidRPr="00D04063">
        <w:rPr>
          <w:b/>
          <w:lang w:val="mk-MK"/>
        </w:rPr>
        <w:t>Кредитите на и побарувањата од банки</w:t>
      </w:r>
      <w:r w:rsidR="007160CE">
        <w:rPr>
          <w:lang w:val="mk-MK"/>
        </w:rPr>
        <w:t xml:space="preserve"> изнесуваат </w:t>
      </w:r>
      <w:r w:rsidR="00917885">
        <w:rPr>
          <w:lang w:val="mk-MK"/>
        </w:rPr>
        <w:t>294</w:t>
      </w:r>
      <w:r w:rsidR="00043BB8">
        <w:rPr>
          <w:lang w:val="mk-MK"/>
        </w:rPr>
        <w:t>.</w:t>
      </w:r>
      <w:r w:rsidR="00917885">
        <w:rPr>
          <w:lang w:val="mk-MK"/>
        </w:rPr>
        <w:t>537</w:t>
      </w:r>
      <w:r w:rsidRPr="00D04063">
        <w:rPr>
          <w:lang w:val="mk-MK"/>
        </w:rPr>
        <w:t xml:space="preserve"> илјади денари</w:t>
      </w:r>
      <w:r w:rsidR="00F13E9B">
        <w:rPr>
          <w:lang w:val="mk-MK"/>
        </w:rPr>
        <w:t xml:space="preserve"> и се</w:t>
      </w:r>
      <w:r w:rsidRPr="00D04063">
        <w:rPr>
          <w:lang w:val="mk-MK"/>
        </w:rPr>
        <w:t xml:space="preserve"> </w:t>
      </w:r>
      <w:r w:rsidR="00917885">
        <w:rPr>
          <w:lang w:val="mk-MK"/>
        </w:rPr>
        <w:t>приближно на исто ниво</w:t>
      </w:r>
      <w:r w:rsidR="00917885" w:rsidRPr="00990A08">
        <w:rPr>
          <w:lang w:val="mk-MK"/>
        </w:rPr>
        <w:t xml:space="preserve"> </w:t>
      </w:r>
      <w:r w:rsidR="00917885">
        <w:rPr>
          <w:lang w:val="mk-MK"/>
        </w:rPr>
        <w:t>в</w:t>
      </w:r>
      <w:r w:rsidR="00917885" w:rsidRPr="00990A08">
        <w:rPr>
          <w:lang w:val="mk-MK"/>
        </w:rPr>
        <w:t xml:space="preserve">о однос на </w:t>
      </w:r>
      <w:r w:rsidR="00917885">
        <w:rPr>
          <w:lang w:val="mk-MK"/>
        </w:rPr>
        <w:t>крајот од минатата година</w:t>
      </w:r>
      <w:r w:rsidR="00917885" w:rsidRPr="00990A08">
        <w:rPr>
          <w:lang w:val="mk-MK"/>
        </w:rPr>
        <w:t>.</w:t>
      </w:r>
    </w:p>
    <w:p w14:paraId="4BBAD2C5" w14:textId="77777777" w:rsidR="00816F65" w:rsidRPr="00917885" w:rsidRDefault="00816F65" w:rsidP="00917885">
      <w:pPr>
        <w:spacing w:after="0" w:line="240" w:lineRule="auto"/>
        <w:ind w:left="340" w:right="340" w:firstLine="380"/>
        <w:jc w:val="both"/>
        <w:rPr>
          <w:lang w:val="mk-MK"/>
        </w:rPr>
      </w:pPr>
    </w:p>
    <w:p w14:paraId="5934A536" w14:textId="05C679DE" w:rsidR="00B9276D" w:rsidRDefault="009D528F">
      <w:pPr>
        <w:spacing w:after="0" w:line="240" w:lineRule="auto"/>
        <w:ind w:left="340" w:right="340" w:firstLine="380"/>
        <w:jc w:val="both"/>
        <w:rPr>
          <w:lang w:val="mk-MK"/>
        </w:rPr>
      </w:pPr>
      <w:r w:rsidRPr="00D04063">
        <w:rPr>
          <w:b/>
          <w:lang w:val="mk-MK"/>
        </w:rPr>
        <w:t>Вложувањата во хартии од вредност</w:t>
      </w:r>
      <w:r w:rsidRPr="00D04063">
        <w:rPr>
          <w:lang w:val="mk-MK"/>
        </w:rPr>
        <w:t xml:space="preserve"> изнесува</w:t>
      </w:r>
      <w:r w:rsidR="00A35200">
        <w:rPr>
          <w:lang w:val="mk-MK"/>
        </w:rPr>
        <w:t>ат</w:t>
      </w:r>
      <w:r w:rsidR="008B5D4D">
        <w:rPr>
          <w:lang w:val="mk-MK"/>
        </w:rPr>
        <w:t xml:space="preserve"> </w:t>
      </w:r>
      <w:r w:rsidR="00F13E9B">
        <w:rPr>
          <w:lang w:val="mk-MK"/>
        </w:rPr>
        <w:t>11</w:t>
      </w:r>
      <w:r w:rsidR="00043BB8">
        <w:rPr>
          <w:lang w:val="mk-MK"/>
        </w:rPr>
        <w:t>.</w:t>
      </w:r>
      <w:r w:rsidR="00F13E9B">
        <w:rPr>
          <w:lang w:val="mk-MK"/>
        </w:rPr>
        <w:t>457</w:t>
      </w:r>
      <w:r w:rsidR="00043BB8">
        <w:rPr>
          <w:lang w:val="mk-MK"/>
        </w:rPr>
        <w:t>.</w:t>
      </w:r>
      <w:r w:rsidR="00F13E9B">
        <w:rPr>
          <w:lang w:val="mk-MK"/>
        </w:rPr>
        <w:t>231</w:t>
      </w:r>
      <w:r w:rsidR="008B5D4D">
        <w:rPr>
          <w:lang w:val="mk-MK"/>
        </w:rPr>
        <w:t xml:space="preserve"> </w:t>
      </w:r>
      <w:r w:rsidRPr="00D04063">
        <w:rPr>
          <w:lang w:val="mk-MK"/>
        </w:rPr>
        <w:t>илјади денари</w:t>
      </w:r>
      <w:r w:rsidR="0094220E">
        <w:rPr>
          <w:lang w:val="mk-MK"/>
        </w:rPr>
        <w:t xml:space="preserve"> и </w:t>
      </w:r>
      <w:r w:rsidR="002F33EB">
        <w:rPr>
          <w:lang w:val="mk-MK"/>
        </w:rPr>
        <w:t>забележаа зголемување од 10</w:t>
      </w:r>
      <w:r w:rsidR="00CC3B37">
        <w:rPr>
          <w:lang w:val="mk-MK"/>
        </w:rPr>
        <w:t xml:space="preserve"> </w:t>
      </w:r>
      <w:r w:rsidR="002F33EB">
        <w:rPr>
          <w:lang w:val="mk-MK"/>
        </w:rPr>
        <w:t>% споредено со</w:t>
      </w:r>
      <w:r w:rsidR="00387DF1">
        <w:rPr>
          <w:lang w:val="mk-MK"/>
        </w:rPr>
        <w:t xml:space="preserve"> крајот на</w:t>
      </w:r>
      <w:r w:rsidR="0094220E">
        <w:rPr>
          <w:lang w:val="mk-MK"/>
        </w:rPr>
        <w:t xml:space="preserve"> минатата година</w:t>
      </w:r>
      <w:r w:rsidR="00016CF2">
        <w:rPr>
          <w:lang w:val="mk-MK"/>
        </w:rPr>
        <w:t xml:space="preserve">. </w:t>
      </w:r>
    </w:p>
    <w:p w14:paraId="53B2DF29" w14:textId="77777777" w:rsidR="00B83D47" w:rsidRDefault="00B83D47" w:rsidP="007A1F00">
      <w:pPr>
        <w:spacing w:after="0" w:line="240" w:lineRule="auto"/>
        <w:ind w:left="340" w:right="340"/>
        <w:jc w:val="both"/>
        <w:rPr>
          <w:lang w:val="mk-MK"/>
        </w:rPr>
      </w:pPr>
    </w:p>
    <w:p w14:paraId="1027F9DF" w14:textId="6168D5C0" w:rsidR="00B9276D" w:rsidRDefault="009204C9">
      <w:pPr>
        <w:spacing w:after="0" w:line="240" w:lineRule="auto"/>
        <w:ind w:left="340" w:right="340" w:firstLine="380"/>
        <w:jc w:val="both"/>
        <w:rPr>
          <w:lang w:val="mk-MK"/>
        </w:rPr>
      </w:pPr>
      <w:r>
        <w:rPr>
          <w:b/>
          <w:lang w:val="mk-MK"/>
        </w:rPr>
        <w:t xml:space="preserve">Останатите побарувања </w:t>
      </w:r>
      <w:r>
        <w:rPr>
          <w:lang w:val="mk-MK"/>
        </w:rPr>
        <w:t>забе</w:t>
      </w:r>
      <w:r w:rsidR="004A7303">
        <w:rPr>
          <w:lang w:val="mk-MK"/>
        </w:rPr>
        <w:t>л</w:t>
      </w:r>
      <w:r w:rsidR="0087219E">
        <w:rPr>
          <w:lang w:val="mk-MK"/>
        </w:rPr>
        <w:t>е</w:t>
      </w:r>
      <w:r w:rsidR="00EE60E5">
        <w:rPr>
          <w:lang w:val="mk-MK"/>
        </w:rPr>
        <w:t xml:space="preserve">жаа </w:t>
      </w:r>
      <w:r w:rsidR="0035621E">
        <w:rPr>
          <w:lang w:val="mk-MK"/>
        </w:rPr>
        <w:t>пораст</w:t>
      </w:r>
      <w:r>
        <w:rPr>
          <w:lang w:val="mk-MK"/>
        </w:rPr>
        <w:t xml:space="preserve"> од </w:t>
      </w:r>
      <w:r w:rsidR="0035621E">
        <w:rPr>
          <w:lang w:val="mk-MK"/>
        </w:rPr>
        <w:t>7</w:t>
      </w:r>
      <w:r w:rsidR="0096180F">
        <w:rPr>
          <w:lang w:val="mk-MK"/>
        </w:rPr>
        <w:t xml:space="preserve"> </w:t>
      </w:r>
      <w:r w:rsidR="00EE60E5">
        <w:rPr>
          <w:lang w:val="mk-MK"/>
        </w:rPr>
        <w:t>% и изнесуваат 2</w:t>
      </w:r>
      <w:r w:rsidR="00043BB8">
        <w:rPr>
          <w:lang w:val="mk-MK"/>
        </w:rPr>
        <w:t>.</w:t>
      </w:r>
      <w:r w:rsidR="0035621E">
        <w:rPr>
          <w:lang w:val="mk-MK"/>
        </w:rPr>
        <w:t>769</w:t>
      </w:r>
      <w:r w:rsidR="00043BB8">
        <w:rPr>
          <w:lang w:val="mk-MK"/>
        </w:rPr>
        <w:t>.</w:t>
      </w:r>
      <w:r w:rsidR="0035621E">
        <w:rPr>
          <w:lang w:val="mk-MK"/>
        </w:rPr>
        <w:t>197</w:t>
      </w:r>
      <w:r w:rsidR="00043BB8">
        <w:rPr>
          <w:lang w:val="mk-MK"/>
        </w:rPr>
        <w:t xml:space="preserve"> илјади денари.</w:t>
      </w:r>
    </w:p>
    <w:p w14:paraId="68A9888C" w14:textId="77777777" w:rsidR="00816F65" w:rsidRDefault="00816F65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4AE846F7" w14:textId="17C6C45A" w:rsidR="00B9276D" w:rsidRPr="00A97410" w:rsidRDefault="009204C9">
      <w:pPr>
        <w:spacing w:after="0" w:line="240" w:lineRule="auto"/>
        <w:ind w:left="340" w:right="340" w:firstLine="380"/>
        <w:jc w:val="both"/>
        <w:rPr>
          <w:lang w:val="mk-MK"/>
        </w:rPr>
      </w:pPr>
      <w:r w:rsidRPr="009204C9">
        <w:rPr>
          <w:b/>
          <w:lang w:val="mk-MK"/>
        </w:rPr>
        <w:t>Вкупните депозити</w:t>
      </w:r>
      <w:r w:rsidR="00606E14">
        <w:rPr>
          <w:b/>
          <w:lang w:val="mk-MK"/>
        </w:rPr>
        <w:t xml:space="preserve"> </w:t>
      </w:r>
      <w:r w:rsidR="00816944">
        <w:rPr>
          <w:b/>
          <w:lang w:val="mk-MK"/>
        </w:rPr>
        <w:t>на други комитенти</w:t>
      </w:r>
      <w:r w:rsidR="00EB5660">
        <w:rPr>
          <w:lang w:val="mk-MK"/>
        </w:rPr>
        <w:t xml:space="preserve"> </w:t>
      </w:r>
      <w:r w:rsidR="00043BB8" w:rsidRPr="00043BB8">
        <w:rPr>
          <w:lang w:val="mk-MK"/>
        </w:rPr>
        <w:t xml:space="preserve">изнесуваат </w:t>
      </w:r>
      <w:r w:rsidR="00EB5660" w:rsidRPr="00043BB8">
        <w:rPr>
          <w:lang w:val="mk-MK"/>
        </w:rPr>
        <w:t xml:space="preserve"> </w:t>
      </w:r>
      <w:r w:rsidR="00EE60E5">
        <w:rPr>
          <w:lang w:val="mk-MK"/>
        </w:rPr>
        <w:t>92</w:t>
      </w:r>
      <w:r w:rsidR="00043BB8" w:rsidRPr="00043BB8">
        <w:rPr>
          <w:lang w:val="mk-MK"/>
        </w:rPr>
        <w:t>.</w:t>
      </w:r>
      <w:r w:rsidR="00EE60E5">
        <w:rPr>
          <w:lang w:val="mk-MK"/>
        </w:rPr>
        <w:t>419</w:t>
      </w:r>
      <w:r w:rsidR="00043BB8" w:rsidRPr="00043BB8">
        <w:rPr>
          <w:lang w:val="mk-MK"/>
        </w:rPr>
        <w:t>.</w:t>
      </w:r>
      <w:r w:rsidR="00EE60E5">
        <w:rPr>
          <w:lang w:val="mk-MK"/>
        </w:rPr>
        <w:t>934</w:t>
      </w:r>
      <w:r w:rsidR="00043BB8" w:rsidRPr="00043BB8">
        <w:rPr>
          <w:lang w:val="mk-MK"/>
        </w:rPr>
        <w:t xml:space="preserve"> </w:t>
      </w:r>
      <w:r w:rsidRPr="00043BB8">
        <w:rPr>
          <w:lang w:val="mk-MK"/>
        </w:rPr>
        <w:t>илјади</w:t>
      </w:r>
      <w:r w:rsidR="00043BB8" w:rsidRPr="00043BB8">
        <w:rPr>
          <w:lang w:val="mk-MK"/>
        </w:rPr>
        <w:t xml:space="preserve"> денари</w:t>
      </w:r>
      <w:r w:rsidR="00043BB8">
        <w:rPr>
          <w:lang w:val="mk-MK"/>
        </w:rPr>
        <w:t>.</w:t>
      </w:r>
      <w:r w:rsidR="0087219E" w:rsidRPr="00043BB8">
        <w:rPr>
          <w:lang w:val="mk-MK"/>
        </w:rPr>
        <w:t xml:space="preserve"> </w:t>
      </w:r>
    </w:p>
    <w:p w14:paraId="4BF73EFB" w14:textId="77777777" w:rsidR="003B4580" w:rsidRPr="00DB47FC" w:rsidRDefault="003B4580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67380770" w14:textId="679B00B5" w:rsidR="00B9276D" w:rsidRDefault="0066521C">
      <w:pPr>
        <w:spacing w:after="0" w:line="240" w:lineRule="auto"/>
        <w:ind w:left="340" w:right="340" w:firstLine="380"/>
        <w:jc w:val="both"/>
        <w:rPr>
          <w:lang w:val="mk-MK"/>
        </w:rPr>
      </w:pPr>
      <w:r w:rsidRPr="00DB47FC">
        <w:rPr>
          <w:b/>
          <w:lang w:val="mk-MK"/>
        </w:rPr>
        <w:t>Капиталот и</w:t>
      </w:r>
      <w:r w:rsidRPr="00D04063">
        <w:rPr>
          <w:b/>
          <w:lang w:val="mk-MK"/>
        </w:rPr>
        <w:t xml:space="preserve"> резервите</w:t>
      </w:r>
      <w:r w:rsidRPr="00D04063">
        <w:rPr>
          <w:lang w:val="mk-MK"/>
        </w:rPr>
        <w:t xml:space="preserve"> изнесува</w:t>
      </w:r>
      <w:r w:rsidR="008517A8" w:rsidRPr="00D04063">
        <w:rPr>
          <w:lang w:val="mk-MK"/>
        </w:rPr>
        <w:t>ат</w:t>
      </w:r>
      <w:r w:rsidR="008B5D4D">
        <w:rPr>
          <w:lang w:val="mk-MK"/>
        </w:rPr>
        <w:t xml:space="preserve"> </w:t>
      </w:r>
      <w:r w:rsidR="009341F9">
        <w:rPr>
          <w:lang w:val="mk-MK"/>
        </w:rPr>
        <w:t>22</w:t>
      </w:r>
      <w:r w:rsidR="00043BB8">
        <w:rPr>
          <w:lang w:val="mk-MK"/>
        </w:rPr>
        <w:t>.</w:t>
      </w:r>
      <w:r w:rsidR="009341F9">
        <w:rPr>
          <w:lang w:val="mk-MK"/>
        </w:rPr>
        <w:t>894</w:t>
      </w:r>
      <w:r w:rsidR="00043BB8">
        <w:rPr>
          <w:lang w:val="mk-MK"/>
        </w:rPr>
        <w:t>.</w:t>
      </w:r>
      <w:r w:rsidR="009341F9">
        <w:rPr>
          <w:lang w:val="mk-MK"/>
        </w:rPr>
        <w:t>732</w:t>
      </w:r>
      <w:r w:rsidR="008B5D4D">
        <w:rPr>
          <w:lang w:val="mk-MK"/>
        </w:rPr>
        <w:t xml:space="preserve"> </w:t>
      </w:r>
      <w:r w:rsidRPr="00D04063">
        <w:rPr>
          <w:lang w:val="mk-MK"/>
        </w:rPr>
        <w:t>илјади денари</w:t>
      </w:r>
      <w:r w:rsidR="008B5D4D">
        <w:rPr>
          <w:lang w:val="mk-MK"/>
        </w:rPr>
        <w:t>,</w:t>
      </w:r>
      <w:r w:rsidRPr="00D04063">
        <w:rPr>
          <w:lang w:val="mk-MK"/>
        </w:rPr>
        <w:t xml:space="preserve"> </w:t>
      </w:r>
      <w:r w:rsidR="002B1B54">
        <w:rPr>
          <w:lang w:val="mk-MK"/>
        </w:rPr>
        <w:t xml:space="preserve">што претставува </w:t>
      </w:r>
      <w:r w:rsidR="00523443" w:rsidRPr="00D04063">
        <w:rPr>
          <w:lang w:val="mk-MK"/>
        </w:rPr>
        <w:t xml:space="preserve"> зголемување </w:t>
      </w:r>
      <w:r w:rsidR="005C1DDE" w:rsidRPr="00D04063">
        <w:rPr>
          <w:lang w:val="mk-MK"/>
        </w:rPr>
        <w:t xml:space="preserve">за </w:t>
      </w:r>
      <w:r w:rsidR="00015B2E">
        <w:rPr>
          <w:lang w:val="mk-MK"/>
        </w:rPr>
        <w:t>3</w:t>
      </w:r>
      <w:r w:rsidR="0096180F">
        <w:rPr>
          <w:lang w:val="mk-MK"/>
        </w:rPr>
        <w:t xml:space="preserve"> </w:t>
      </w:r>
      <w:r w:rsidRPr="00D51036">
        <w:rPr>
          <w:lang w:val="mk-MK"/>
        </w:rPr>
        <w:t xml:space="preserve">% </w:t>
      </w:r>
      <w:r w:rsidRPr="00D04063">
        <w:rPr>
          <w:lang w:val="mk-MK"/>
        </w:rPr>
        <w:t>во однос</w:t>
      </w:r>
      <w:r w:rsidR="009D42BC">
        <w:rPr>
          <w:lang w:val="mk-MK"/>
        </w:rPr>
        <w:t xml:space="preserve"> на </w:t>
      </w:r>
      <w:r w:rsidR="000166F3" w:rsidRPr="00D04063">
        <w:rPr>
          <w:lang w:val="mk-MK"/>
        </w:rPr>
        <w:t>крајот</w:t>
      </w:r>
      <w:r w:rsidRPr="00D04063">
        <w:rPr>
          <w:lang w:val="mk-MK"/>
        </w:rPr>
        <w:t xml:space="preserve"> на 20</w:t>
      </w:r>
      <w:r w:rsidR="00B16996">
        <w:rPr>
          <w:lang w:val="mk-MK"/>
        </w:rPr>
        <w:t>2</w:t>
      </w:r>
      <w:r w:rsidR="009341F9">
        <w:rPr>
          <w:lang w:val="mk-MK"/>
        </w:rPr>
        <w:t>2</w:t>
      </w:r>
      <w:r w:rsidRPr="00D04063">
        <w:rPr>
          <w:lang w:val="mk-MK"/>
        </w:rPr>
        <w:t xml:space="preserve"> година</w:t>
      </w:r>
      <w:r w:rsidR="003E7AE6">
        <w:rPr>
          <w:lang w:val="mk-MK"/>
        </w:rPr>
        <w:t>.</w:t>
      </w:r>
    </w:p>
    <w:p w14:paraId="6B822EDF" w14:textId="77777777" w:rsidR="003E7AE6" w:rsidRPr="00A97410" w:rsidRDefault="003E7AE6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7C4D2362" w14:textId="2965B515" w:rsidR="00B9276D" w:rsidRDefault="003F01CC">
      <w:pPr>
        <w:spacing w:after="0" w:line="240" w:lineRule="auto"/>
        <w:ind w:left="340" w:right="340" w:firstLine="380"/>
        <w:jc w:val="both"/>
        <w:rPr>
          <w:b/>
          <w:lang w:val="mk-MK"/>
        </w:rPr>
      </w:pPr>
      <w:r w:rsidRPr="00CB6604">
        <w:rPr>
          <w:b/>
          <w:lang w:val="mk-MK"/>
        </w:rPr>
        <w:t>Вложувања или продажба на материјални средства</w:t>
      </w:r>
      <w:r w:rsidR="008B5D4D">
        <w:rPr>
          <w:b/>
          <w:lang w:val="mk-MK"/>
        </w:rPr>
        <w:t xml:space="preserve"> </w:t>
      </w:r>
      <w:r w:rsidRPr="00CB6604">
        <w:rPr>
          <w:b/>
          <w:lang w:val="mk-MK"/>
        </w:rPr>
        <w:t>(недвижности, постојки и опрема) или значителен отпис (поголем од 30</w:t>
      </w:r>
      <w:r w:rsidR="0096180F">
        <w:rPr>
          <w:b/>
          <w:lang w:val="mk-MK"/>
        </w:rPr>
        <w:t xml:space="preserve"> </w:t>
      </w:r>
      <w:r w:rsidRPr="00CB6604">
        <w:rPr>
          <w:b/>
          <w:lang w:val="mk-MK"/>
        </w:rPr>
        <w:t>% од вредноста на средството споредено со последните годишни ревидирани финансиски извештаи)</w:t>
      </w:r>
    </w:p>
    <w:p w14:paraId="365368E7" w14:textId="77777777" w:rsidR="00350CDF" w:rsidRDefault="00350CDF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38EC3AF6" w14:textId="7417CC13" w:rsidR="00F23AD6" w:rsidRPr="00A97410" w:rsidRDefault="003F01CC" w:rsidP="00F23AD6">
      <w:pPr>
        <w:spacing w:after="0" w:line="240" w:lineRule="auto"/>
        <w:ind w:left="340" w:right="340" w:firstLine="380"/>
        <w:jc w:val="both"/>
        <w:rPr>
          <w:rFonts w:ascii="Calibri" w:eastAsia="Calibri" w:hAnsi="Calibri" w:cs="Times New Roman"/>
          <w:lang w:val="mk-MK"/>
        </w:rPr>
      </w:pPr>
      <w:r w:rsidRPr="00403C7B">
        <w:rPr>
          <w:b/>
          <w:lang w:val="mk-MK"/>
        </w:rPr>
        <w:t>Недвижностите и опремата</w:t>
      </w:r>
      <w:r w:rsidR="008B5D4D">
        <w:rPr>
          <w:b/>
          <w:lang w:val="mk-MK"/>
        </w:rPr>
        <w:t xml:space="preserve"> </w:t>
      </w:r>
      <w:r w:rsidR="00F23AD6">
        <w:rPr>
          <w:lang w:val="mk-MK"/>
        </w:rPr>
        <w:t xml:space="preserve">изнесуваат </w:t>
      </w:r>
      <w:r w:rsidR="0035621E">
        <w:rPr>
          <w:lang w:val="mk-MK"/>
        </w:rPr>
        <w:t>969</w:t>
      </w:r>
      <w:r w:rsidR="00043BB8">
        <w:rPr>
          <w:lang w:val="mk-MK"/>
        </w:rPr>
        <w:t>.</w:t>
      </w:r>
      <w:r w:rsidR="0035621E">
        <w:rPr>
          <w:lang w:val="mk-MK"/>
        </w:rPr>
        <w:t>474</w:t>
      </w:r>
      <w:r w:rsidR="0086364D">
        <w:rPr>
          <w:lang w:val="mk-MK"/>
        </w:rPr>
        <w:t xml:space="preserve"> </w:t>
      </w:r>
      <w:r w:rsidR="00043BB8">
        <w:rPr>
          <w:lang w:val="mk-MK"/>
        </w:rPr>
        <w:t xml:space="preserve">илјади денари </w:t>
      </w:r>
      <w:r w:rsidR="00F23AD6" w:rsidRPr="00F23AD6">
        <w:rPr>
          <w:rFonts w:ascii="Calibri" w:eastAsia="Calibri" w:hAnsi="Calibri" w:cs="Times New Roman"/>
          <w:lang w:val="mk-MK"/>
        </w:rPr>
        <w:t xml:space="preserve">и бележат зголемување за </w:t>
      </w:r>
      <w:r w:rsidR="0035621E">
        <w:rPr>
          <w:rFonts w:ascii="Calibri" w:eastAsia="Calibri" w:hAnsi="Calibri" w:cs="Times New Roman"/>
          <w:lang w:val="mk-MK"/>
        </w:rPr>
        <w:t>7</w:t>
      </w:r>
      <w:r w:rsidR="0096180F">
        <w:rPr>
          <w:rFonts w:ascii="Calibri" w:eastAsia="Calibri" w:hAnsi="Calibri" w:cs="Times New Roman"/>
          <w:lang w:val="mk-MK"/>
        </w:rPr>
        <w:t xml:space="preserve"> </w:t>
      </w:r>
      <w:r w:rsidR="00F23AD6" w:rsidRPr="00F23AD6">
        <w:rPr>
          <w:rFonts w:ascii="Calibri" w:eastAsia="Calibri" w:hAnsi="Calibri" w:cs="Times New Roman"/>
          <w:lang w:val="mk-MK"/>
        </w:rPr>
        <w:t xml:space="preserve">% </w:t>
      </w:r>
      <w:r w:rsidR="0035621E">
        <w:rPr>
          <w:rFonts w:ascii="Calibri" w:eastAsia="Calibri" w:hAnsi="Calibri" w:cs="Times New Roman"/>
          <w:lang w:val="mk-MK"/>
        </w:rPr>
        <w:t>споредено со крајот на м</w:t>
      </w:r>
      <w:r w:rsidR="00EC324F">
        <w:rPr>
          <w:rFonts w:ascii="Calibri" w:eastAsia="Calibri" w:hAnsi="Calibri" w:cs="Times New Roman"/>
          <w:lang w:val="mk-MK"/>
        </w:rPr>
        <w:t>и</w:t>
      </w:r>
      <w:r w:rsidR="0035621E">
        <w:rPr>
          <w:rFonts w:ascii="Calibri" w:eastAsia="Calibri" w:hAnsi="Calibri" w:cs="Times New Roman"/>
          <w:lang w:val="mk-MK"/>
        </w:rPr>
        <w:t>натата година</w:t>
      </w:r>
      <w:r w:rsidR="00F23AD6" w:rsidRPr="00A97410">
        <w:rPr>
          <w:rFonts w:ascii="Calibri" w:eastAsia="Calibri" w:hAnsi="Calibri" w:cs="Times New Roman"/>
          <w:lang w:val="mk-MK"/>
        </w:rPr>
        <w:t>.</w:t>
      </w:r>
    </w:p>
    <w:p w14:paraId="599ECF6D" w14:textId="77777777" w:rsidR="009204C9" w:rsidRDefault="009204C9" w:rsidP="00F23AD6">
      <w:pPr>
        <w:spacing w:after="0" w:line="240" w:lineRule="auto"/>
        <w:ind w:left="340" w:right="340" w:firstLine="380"/>
        <w:jc w:val="both"/>
        <w:rPr>
          <w:lang w:val="mk-MK"/>
        </w:rPr>
      </w:pPr>
    </w:p>
    <w:p w14:paraId="3C885D31" w14:textId="0CAFA67B" w:rsidR="00B9276D" w:rsidRDefault="00874E12">
      <w:pPr>
        <w:spacing w:after="0" w:line="240" w:lineRule="auto"/>
        <w:ind w:left="340" w:right="340" w:firstLine="380"/>
        <w:jc w:val="both"/>
        <w:rPr>
          <w:b/>
          <w:lang w:val="mk-MK"/>
        </w:rPr>
      </w:pPr>
      <w:r>
        <w:rPr>
          <w:b/>
          <w:lang w:val="mk-MK"/>
        </w:rPr>
        <w:t>Промени во кредитните задолжувања (намалувања или зголемување поголеми од 30</w:t>
      </w:r>
      <w:r w:rsidR="0096180F">
        <w:rPr>
          <w:b/>
          <w:lang w:val="mk-MK"/>
        </w:rPr>
        <w:t xml:space="preserve"> </w:t>
      </w:r>
      <w:r>
        <w:rPr>
          <w:b/>
          <w:lang w:val="mk-MK"/>
        </w:rPr>
        <w:t xml:space="preserve">% споредено со последните </w:t>
      </w:r>
      <w:r w:rsidRPr="0070013C">
        <w:rPr>
          <w:b/>
          <w:lang w:val="mk-MK"/>
        </w:rPr>
        <w:t>годишни ревидирани финансиски извештаи</w:t>
      </w:r>
      <w:r>
        <w:rPr>
          <w:b/>
          <w:lang w:val="mk-MK"/>
        </w:rPr>
        <w:t>)</w:t>
      </w:r>
    </w:p>
    <w:p w14:paraId="566BFD69" w14:textId="77777777" w:rsidR="00350CDF" w:rsidRPr="00CB6604" w:rsidRDefault="00350CDF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07E59278" w14:textId="33006E89" w:rsidR="00402A01" w:rsidRPr="00165E31" w:rsidRDefault="00874E12" w:rsidP="00043BB8">
      <w:pPr>
        <w:spacing w:after="0" w:line="240" w:lineRule="auto"/>
        <w:ind w:left="340" w:right="340" w:firstLine="380"/>
        <w:jc w:val="both"/>
        <w:rPr>
          <w:b/>
          <w:lang w:val="mk-MK"/>
        </w:rPr>
      </w:pPr>
      <w:r w:rsidRPr="009204C9">
        <w:rPr>
          <w:b/>
          <w:lang w:val="mk-MK"/>
        </w:rPr>
        <w:t>Обврските по кредити</w:t>
      </w:r>
      <w:r w:rsidR="008B5D4D">
        <w:rPr>
          <w:b/>
          <w:lang w:val="mk-MK"/>
        </w:rPr>
        <w:t xml:space="preserve"> </w:t>
      </w:r>
      <w:r w:rsidR="004179E7">
        <w:rPr>
          <w:lang w:val="mk-MK"/>
        </w:rPr>
        <w:t>изнесуваат</w:t>
      </w:r>
      <w:r w:rsidR="009204C9">
        <w:rPr>
          <w:lang w:val="mk-MK"/>
        </w:rPr>
        <w:t xml:space="preserve"> </w:t>
      </w:r>
      <w:r w:rsidR="00F57EC7">
        <w:rPr>
          <w:lang w:val="mk-MK"/>
        </w:rPr>
        <w:t>1</w:t>
      </w:r>
      <w:r w:rsidR="00043BB8">
        <w:rPr>
          <w:lang w:val="mk-MK"/>
        </w:rPr>
        <w:t>.</w:t>
      </w:r>
      <w:r w:rsidR="00F57EC7">
        <w:rPr>
          <w:lang w:val="mk-MK"/>
        </w:rPr>
        <w:t>969</w:t>
      </w:r>
      <w:r w:rsidR="00043BB8">
        <w:rPr>
          <w:lang w:val="mk-MK"/>
        </w:rPr>
        <w:t>.</w:t>
      </w:r>
      <w:r w:rsidR="00F57EC7">
        <w:rPr>
          <w:lang w:val="mk-MK"/>
        </w:rPr>
        <w:t>320</w:t>
      </w:r>
      <w:r w:rsidRPr="00D04063">
        <w:rPr>
          <w:lang w:val="mk-MK"/>
        </w:rPr>
        <w:t xml:space="preserve"> илјади денари и се </w:t>
      </w:r>
      <w:r w:rsidR="00B57052">
        <w:rPr>
          <w:lang w:val="mk-MK"/>
        </w:rPr>
        <w:t>зголемени</w:t>
      </w:r>
      <w:r w:rsidR="00F57EC7" w:rsidRPr="00F57EC7">
        <w:rPr>
          <w:lang w:val="mk-MK"/>
        </w:rPr>
        <w:t xml:space="preserve"> </w:t>
      </w:r>
      <w:r w:rsidR="00F57EC7" w:rsidRPr="00D04063">
        <w:rPr>
          <w:lang w:val="mk-MK"/>
        </w:rPr>
        <w:t xml:space="preserve">за </w:t>
      </w:r>
      <w:r w:rsidR="00F57EC7">
        <w:rPr>
          <w:lang w:val="mk-MK"/>
        </w:rPr>
        <w:t>2</w:t>
      </w:r>
      <w:r w:rsidR="0096180F">
        <w:rPr>
          <w:lang w:val="mk-MK"/>
        </w:rPr>
        <w:t xml:space="preserve"> </w:t>
      </w:r>
      <w:r w:rsidR="00F57EC7">
        <w:rPr>
          <w:lang w:val="mk-MK"/>
        </w:rPr>
        <w:t>%</w:t>
      </w:r>
      <w:r w:rsidRPr="00D04063">
        <w:rPr>
          <w:lang w:val="mk-MK"/>
        </w:rPr>
        <w:t xml:space="preserve"> во однос на крајот на 20</w:t>
      </w:r>
      <w:r w:rsidR="00143159">
        <w:rPr>
          <w:lang w:val="mk-MK"/>
        </w:rPr>
        <w:t>2</w:t>
      </w:r>
      <w:r w:rsidR="00F57EC7">
        <w:rPr>
          <w:lang w:val="mk-MK"/>
        </w:rPr>
        <w:t>2</w:t>
      </w:r>
      <w:r w:rsidRPr="00D04063">
        <w:rPr>
          <w:lang w:val="mk-MK"/>
        </w:rPr>
        <w:t xml:space="preserve"> година</w:t>
      </w:r>
      <w:r w:rsidR="00F57EC7">
        <w:rPr>
          <w:lang w:val="mk-MK"/>
        </w:rPr>
        <w:t>.</w:t>
      </w:r>
    </w:p>
    <w:p w14:paraId="0D30B999" w14:textId="77777777" w:rsidR="00FA4774" w:rsidRDefault="00FA4774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214CD84F" w14:textId="77777777" w:rsidR="009A4F45" w:rsidRDefault="009A4F45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1C130B3E" w14:textId="77777777" w:rsidR="00C3063F" w:rsidRDefault="00C3063F" w:rsidP="00C3063F">
      <w:pPr>
        <w:spacing w:after="0" w:line="240" w:lineRule="auto"/>
        <w:ind w:left="340" w:right="340"/>
        <w:jc w:val="both"/>
        <w:rPr>
          <w:b/>
          <w:lang w:val="ru-RU"/>
        </w:rPr>
      </w:pPr>
      <w:r w:rsidRPr="0003701C">
        <w:rPr>
          <w:b/>
          <w:lang w:val="mk-MK"/>
        </w:rPr>
        <w:t>Очекувања за претстојниот период</w:t>
      </w:r>
    </w:p>
    <w:p w14:paraId="21A31A60" w14:textId="77777777" w:rsidR="003E7AE6" w:rsidRDefault="003E7AE6" w:rsidP="00C3063F">
      <w:pPr>
        <w:spacing w:after="0" w:line="240" w:lineRule="auto"/>
        <w:ind w:left="340" w:right="340"/>
        <w:jc w:val="both"/>
        <w:rPr>
          <w:b/>
          <w:lang w:val="ru-RU"/>
        </w:rPr>
      </w:pPr>
    </w:p>
    <w:p w14:paraId="093787FB" w14:textId="03E34491" w:rsidR="005F7367" w:rsidRDefault="00043BB8">
      <w:pPr>
        <w:spacing w:after="0" w:line="240" w:lineRule="auto"/>
        <w:ind w:left="340" w:right="340" w:firstLine="380"/>
        <w:jc w:val="both"/>
        <w:rPr>
          <w:lang w:val="mk-MK"/>
        </w:rPr>
      </w:pPr>
      <w:r>
        <w:rPr>
          <w:lang w:val="ru-RU"/>
        </w:rPr>
        <w:t>Во следниот период се очекува</w:t>
      </w:r>
      <w:r w:rsidR="005F7367">
        <w:rPr>
          <w:lang w:val="ru-RU"/>
        </w:rPr>
        <w:t xml:space="preserve"> продолжување на деловните активности </w:t>
      </w:r>
      <w:r w:rsidR="0096180F">
        <w:rPr>
          <w:lang w:val="ru-RU"/>
        </w:rPr>
        <w:t xml:space="preserve">во </w:t>
      </w:r>
      <w:r w:rsidR="005F7367">
        <w:rPr>
          <w:lang w:val="ru-RU"/>
        </w:rPr>
        <w:t>согласно</w:t>
      </w:r>
      <w:r w:rsidR="0096180F">
        <w:rPr>
          <w:lang w:val="ru-RU"/>
        </w:rPr>
        <w:t>ст со</w:t>
      </w:r>
      <w:r w:rsidR="005F7367">
        <w:rPr>
          <w:lang w:val="ru-RU"/>
        </w:rPr>
        <w:t xml:space="preserve"> дефинираниот деловен план</w:t>
      </w:r>
      <w:r w:rsidR="00072662">
        <w:rPr>
          <w:lang w:val="ru-RU"/>
        </w:rPr>
        <w:t xml:space="preserve"> на Банката</w:t>
      </w:r>
      <w:r w:rsidR="00D505B8">
        <w:rPr>
          <w:lang w:val="ru-RU"/>
        </w:rPr>
        <w:t xml:space="preserve"> со </w:t>
      </w:r>
      <w:r w:rsidR="00387DF1">
        <w:rPr>
          <w:lang w:val="ru-RU"/>
        </w:rPr>
        <w:t>целосна ориентираност</w:t>
      </w:r>
      <w:r w:rsidR="00D505B8">
        <w:rPr>
          <w:lang w:val="ru-RU"/>
        </w:rPr>
        <w:t xml:space="preserve"> кон</w:t>
      </w:r>
      <w:r w:rsidR="00387DF1">
        <w:rPr>
          <w:lang w:val="ru-RU"/>
        </w:rPr>
        <w:t xml:space="preserve"> поддршка на клиентите, прудентно управување со ризиците и</w:t>
      </w:r>
      <w:r>
        <w:rPr>
          <w:lang w:val="ru-RU"/>
        </w:rPr>
        <w:t xml:space="preserve"> о</w:t>
      </w:r>
      <w:r w:rsidR="003E7AE6">
        <w:rPr>
          <w:lang w:val="ru-RU"/>
        </w:rPr>
        <w:t>држување</w:t>
      </w:r>
      <w:r w:rsidR="002F27CE">
        <w:rPr>
          <w:lang w:val="ru-RU"/>
        </w:rPr>
        <w:t xml:space="preserve"> на </w:t>
      </w:r>
      <w:r w:rsidR="005F7367">
        <w:rPr>
          <w:lang w:val="ru-RU"/>
        </w:rPr>
        <w:t>високата стабилност</w:t>
      </w:r>
      <w:r w:rsidR="00387DF1">
        <w:rPr>
          <w:lang w:val="ru-RU"/>
        </w:rPr>
        <w:t>,</w:t>
      </w:r>
      <w:r w:rsidR="005F7367">
        <w:rPr>
          <w:lang w:val="ru-RU"/>
        </w:rPr>
        <w:t xml:space="preserve"> сигурност</w:t>
      </w:r>
      <w:r w:rsidR="00387DF1">
        <w:rPr>
          <w:lang w:val="ru-RU"/>
        </w:rPr>
        <w:t xml:space="preserve"> и ефикасност</w:t>
      </w:r>
      <w:r w:rsidR="005F7367">
        <w:rPr>
          <w:lang w:val="ru-RU"/>
        </w:rPr>
        <w:t xml:space="preserve"> </w:t>
      </w:r>
      <w:r w:rsidR="00DC5AAB">
        <w:rPr>
          <w:lang w:val="ru-RU"/>
        </w:rPr>
        <w:t>во сите сегменти од</w:t>
      </w:r>
      <w:r w:rsidR="00072662">
        <w:rPr>
          <w:lang w:val="ru-RU"/>
        </w:rPr>
        <w:t xml:space="preserve"> нејзиното</w:t>
      </w:r>
      <w:r w:rsidR="00DC5AAB">
        <w:rPr>
          <w:lang w:val="ru-RU"/>
        </w:rPr>
        <w:t xml:space="preserve"> работење</w:t>
      </w:r>
      <w:r w:rsidR="00072662">
        <w:rPr>
          <w:lang w:val="ru-RU"/>
        </w:rPr>
        <w:t xml:space="preserve">. </w:t>
      </w:r>
      <w:r w:rsidR="0003701C">
        <w:rPr>
          <w:lang w:val="ru-RU"/>
        </w:rPr>
        <w:t>Исто така</w:t>
      </w:r>
      <w:r w:rsidR="00B71EB6">
        <w:rPr>
          <w:lang w:val="ru-RU"/>
        </w:rPr>
        <w:t>,</w:t>
      </w:r>
      <w:r w:rsidR="0003701C">
        <w:rPr>
          <w:lang w:val="ru-RU"/>
        </w:rPr>
        <w:t xml:space="preserve"> Банката</w:t>
      </w:r>
      <w:r w:rsidR="00D505B8">
        <w:rPr>
          <w:lang w:val="ru-RU"/>
        </w:rPr>
        <w:t xml:space="preserve"> продолжува со реализација на</w:t>
      </w:r>
      <w:r w:rsidR="0003701C">
        <w:rPr>
          <w:lang w:val="ru-RU"/>
        </w:rPr>
        <w:t xml:space="preserve"> </w:t>
      </w:r>
      <w:r w:rsidR="005F7367">
        <w:rPr>
          <w:lang w:val="ru-RU"/>
        </w:rPr>
        <w:t>започнатите проекти</w:t>
      </w:r>
      <w:r w:rsidR="0003701C">
        <w:rPr>
          <w:lang w:val="ru-RU"/>
        </w:rPr>
        <w:t>,</w:t>
      </w:r>
      <w:r w:rsidR="005F7367">
        <w:rPr>
          <w:lang w:val="ru-RU"/>
        </w:rPr>
        <w:t xml:space="preserve"> пред с</w:t>
      </w:r>
      <w:r w:rsidR="00DC5AAB">
        <w:rPr>
          <w:rFonts w:cstheme="minorHAnsi"/>
          <w:lang w:val="mk-MK"/>
        </w:rPr>
        <w:t>è</w:t>
      </w:r>
      <w:r w:rsidR="00387DF1">
        <w:rPr>
          <w:lang w:val="ru-RU"/>
        </w:rPr>
        <w:t>,</w:t>
      </w:r>
      <w:r w:rsidR="005F7367">
        <w:rPr>
          <w:lang w:val="ru-RU"/>
        </w:rPr>
        <w:t xml:space="preserve"> во делот </w:t>
      </w:r>
      <w:r w:rsidR="0003701C">
        <w:rPr>
          <w:lang w:val="ru-RU"/>
        </w:rPr>
        <w:t>на</w:t>
      </w:r>
      <w:r w:rsidR="005F7367">
        <w:rPr>
          <w:lang w:val="ru-RU"/>
        </w:rPr>
        <w:t xml:space="preserve"> дигитализацијата</w:t>
      </w:r>
      <w:r w:rsidR="00D505B8">
        <w:rPr>
          <w:lang w:val="ru-RU"/>
        </w:rPr>
        <w:t>,</w:t>
      </w:r>
      <w:r w:rsidR="005F7367">
        <w:rPr>
          <w:lang w:val="ru-RU"/>
        </w:rPr>
        <w:t xml:space="preserve"> </w:t>
      </w:r>
      <w:r w:rsidR="0003701C">
        <w:rPr>
          <w:lang w:val="ru-RU"/>
        </w:rPr>
        <w:t xml:space="preserve">како </w:t>
      </w:r>
      <w:r w:rsidR="005F7367">
        <w:rPr>
          <w:lang w:val="ru-RU"/>
        </w:rPr>
        <w:t xml:space="preserve">и </w:t>
      </w:r>
      <w:r w:rsidR="00387DF1">
        <w:rPr>
          <w:lang w:val="ru-RU"/>
        </w:rPr>
        <w:t xml:space="preserve">подготовка на </w:t>
      </w:r>
      <w:r w:rsidR="005F7367">
        <w:rPr>
          <w:lang w:val="ru-RU"/>
        </w:rPr>
        <w:t xml:space="preserve">понуда на нови </w:t>
      </w:r>
      <w:r w:rsidR="00387DF1">
        <w:rPr>
          <w:lang w:val="ru-RU"/>
        </w:rPr>
        <w:t>услуги</w:t>
      </w:r>
      <w:r w:rsidR="005F7367">
        <w:rPr>
          <w:lang w:val="ru-RU"/>
        </w:rPr>
        <w:t xml:space="preserve">. </w:t>
      </w:r>
      <w:r w:rsidR="00387DF1">
        <w:rPr>
          <w:lang w:val="ru-RU"/>
        </w:rPr>
        <w:t xml:space="preserve">Секако, </w:t>
      </w:r>
      <w:r w:rsidR="00402A01">
        <w:rPr>
          <w:lang w:val="ru-RU"/>
        </w:rPr>
        <w:t>ф</w:t>
      </w:r>
      <w:r w:rsidR="00B22B5B">
        <w:rPr>
          <w:lang w:val="ru-RU"/>
        </w:rPr>
        <w:t xml:space="preserve">окусот </w:t>
      </w:r>
      <w:r w:rsidR="00387DF1">
        <w:rPr>
          <w:lang w:val="ru-RU"/>
        </w:rPr>
        <w:t xml:space="preserve">останува на </w:t>
      </w:r>
      <w:r w:rsidR="00AD6F47">
        <w:rPr>
          <w:lang w:val="ru-RU"/>
        </w:rPr>
        <w:t xml:space="preserve">редовното и ефикасно </w:t>
      </w:r>
      <w:r w:rsidR="005F7367">
        <w:rPr>
          <w:lang w:val="ru-RU"/>
        </w:rPr>
        <w:t xml:space="preserve">извршување на основните деловни активности, одржување на </w:t>
      </w:r>
      <w:r w:rsidR="002F27CE">
        <w:rPr>
          <w:lang w:val="ru-RU"/>
        </w:rPr>
        <w:t xml:space="preserve">лидерското </w:t>
      </w:r>
      <w:r w:rsidR="00B22B5B">
        <w:rPr>
          <w:lang w:val="ru-RU"/>
        </w:rPr>
        <w:t xml:space="preserve">пазарно учество од </w:t>
      </w:r>
      <w:r w:rsidR="00B22B5B">
        <w:rPr>
          <w:lang w:val="mk-MK"/>
        </w:rPr>
        <w:t xml:space="preserve">околу </w:t>
      </w:r>
      <w:r w:rsidR="00B22B5B" w:rsidRPr="00B22B5B">
        <w:rPr>
          <w:lang w:val="mk-MK"/>
        </w:rPr>
        <w:t>27</w:t>
      </w:r>
      <w:r w:rsidR="0096180F">
        <w:rPr>
          <w:lang w:val="mk-MK"/>
        </w:rPr>
        <w:t xml:space="preserve"> </w:t>
      </w:r>
      <w:r w:rsidR="00B22B5B" w:rsidRPr="00B22B5B">
        <w:rPr>
          <w:lang w:val="mk-MK"/>
        </w:rPr>
        <w:t>% во сегментот на кредитирање</w:t>
      </w:r>
      <w:r w:rsidR="00270E12">
        <w:rPr>
          <w:lang w:val="mk-MK"/>
        </w:rPr>
        <w:t xml:space="preserve"> на</w:t>
      </w:r>
      <w:r w:rsidR="00B22B5B" w:rsidRPr="00B22B5B">
        <w:rPr>
          <w:lang w:val="mk-MK"/>
        </w:rPr>
        <w:t xml:space="preserve"> население</w:t>
      </w:r>
      <w:r w:rsidR="005F7367">
        <w:rPr>
          <w:lang w:val="mk-MK"/>
        </w:rPr>
        <w:t xml:space="preserve">, со фокус за </w:t>
      </w:r>
      <w:r w:rsidR="00B22B5B">
        <w:rPr>
          <w:lang w:val="mk-MK"/>
        </w:rPr>
        <w:t xml:space="preserve">натамошно </w:t>
      </w:r>
      <w:r w:rsidR="00B22B5B" w:rsidRPr="00B22B5B">
        <w:rPr>
          <w:lang w:val="mk-MK"/>
        </w:rPr>
        <w:t>зголемување на пазарното учество во делот на кредитирање на компаниите</w:t>
      </w:r>
      <w:r w:rsidR="00270E12">
        <w:rPr>
          <w:lang w:val="mk-MK"/>
        </w:rPr>
        <w:t>,</w:t>
      </w:r>
      <w:r w:rsidR="00B22B5B">
        <w:rPr>
          <w:lang w:val="mk-MK"/>
        </w:rPr>
        <w:t xml:space="preserve"> кое </w:t>
      </w:r>
      <w:r w:rsidR="00AD6F47">
        <w:rPr>
          <w:lang w:val="mk-MK"/>
        </w:rPr>
        <w:t>на крајот на март 202</w:t>
      </w:r>
      <w:r w:rsidR="00536B8C">
        <w:rPr>
          <w:lang w:val="mk-MK"/>
        </w:rPr>
        <w:t>3</w:t>
      </w:r>
      <w:r w:rsidR="00AD6F47">
        <w:rPr>
          <w:lang w:val="mk-MK"/>
        </w:rPr>
        <w:t xml:space="preserve"> година достигна </w:t>
      </w:r>
      <w:r w:rsidR="00F57EC7">
        <w:rPr>
          <w:lang w:val="mk-MK"/>
        </w:rPr>
        <w:t>16</w:t>
      </w:r>
      <w:r w:rsidR="002F27CE">
        <w:rPr>
          <w:lang w:val="mk-MK"/>
        </w:rPr>
        <w:t>,</w:t>
      </w:r>
      <w:r w:rsidR="00F57EC7">
        <w:rPr>
          <w:lang w:val="mk-MK"/>
        </w:rPr>
        <w:t>4</w:t>
      </w:r>
      <w:r w:rsidR="0096180F">
        <w:rPr>
          <w:lang w:val="mk-MK"/>
        </w:rPr>
        <w:t xml:space="preserve"> </w:t>
      </w:r>
      <w:r w:rsidR="002F27CE">
        <w:rPr>
          <w:lang w:val="mk-MK"/>
        </w:rPr>
        <w:t>%.</w:t>
      </w:r>
    </w:p>
    <w:p w14:paraId="32685704" w14:textId="11C8F9C8" w:rsidR="00115D98" w:rsidRPr="00A97410" w:rsidRDefault="00DF5FA1" w:rsidP="00E773E7">
      <w:pPr>
        <w:ind w:left="360" w:right="360" w:firstLine="360"/>
        <w:jc w:val="both"/>
        <w:rPr>
          <w:lang w:val="mk-MK"/>
        </w:rPr>
      </w:pPr>
      <w:r>
        <w:rPr>
          <w:lang w:val="mk-MK"/>
        </w:rPr>
        <w:t>Грижата за општествената заедница</w:t>
      </w:r>
      <w:r w:rsidR="00E1044F">
        <w:rPr>
          <w:lang w:val="mk-MK"/>
        </w:rPr>
        <w:t xml:space="preserve"> како и секогаш останува</w:t>
      </w:r>
      <w:r>
        <w:rPr>
          <w:lang w:val="mk-MK"/>
        </w:rPr>
        <w:t xml:space="preserve"> во зацртаната агенда на Банката, преку</w:t>
      </w:r>
      <w:r w:rsidR="00E171EC">
        <w:rPr>
          <w:lang w:val="mk-MK"/>
        </w:rPr>
        <w:t xml:space="preserve"> реализација на повеќе</w:t>
      </w:r>
      <w:r>
        <w:rPr>
          <w:lang w:val="mk-MK"/>
        </w:rPr>
        <w:t xml:space="preserve"> </w:t>
      </w:r>
      <w:r w:rsidR="007631EF">
        <w:rPr>
          <w:lang w:val="mk-MK"/>
        </w:rPr>
        <w:t>проекти</w:t>
      </w:r>
      <w:r w:rsidR="00E171EC">
        <w:rPr>
          <w:lang w:val="mk-MK"/>
        </w:rPr>
        <w:t xml:space="preserve"> </w:t>
      </w:r>
      <w:r w:rsidR="0003701C">
        <w:rPr>
          <w:lang w:val="mk-MK"/>
        </w:rPr>
        <w:t>кои стана</w:t>
      </w:r>
      <w:r w:rsidR="00E171EC">
        <w:rPr>
          <w:lang w:val="mk-MK"/>
        </w:rPr>
        <w:t>а</w:t>
      </w:r>
      <w:r w:rsidR="0003701C">
        <w:rPr>
          <w:lang w:val="mk-MK"/>
        </w:rPr>
        <w:t xml:space="preserve"> препознатлив</w:t>
      </w:r>
      <w:r w:rsidR="00E171EC">
        <w:rPr>
          <w:lang w:val="mk-MK"/>
        </w:rPr>
        <w:t>и</w:t>
      </w:r>
      <w:r w:rsidR="0003701C">
        <w:rPr>
          <w:lang w:val="mk-MK"/>
        </w:rPr>
        <w:t xml:space="preserve"> </w:t>
      </w:r>
      <w:r w:rsidR="00E1044F">
        <w:rPr>
          <w:lang w:val="mk-MK"/>
        </w:rPr>
        <w:t xml:space="preserve">во заедницата,  како и со </w:t>
      </w:r>
      <w:r w:rsidR="00E171EC">
        <w:rPr>
          <w:lang w:val="mk-MK"/>
        </w:rPr>
        <w:t xml:space="preserve">повеќе </w:t>
      </w:r>
      <w:r w:rsidR="0003701C">
        <w:rPr>
          <w:lang w:val="mk-MK"/>
        </w:rPr>
        <w:t>донации -</w:t>
      </w:r>
      <w:r>
        <w:rPr>
          <w:lang w:val="mk-MK"/>
        </w:rPr>
        <w:t xml:space="preserve"> како пред пандемијата така и за време на пандемијата.</w:t>
      </w:r>
      <w:r w:rsidR="00270E12">
        <w:rPr>
          <w:lang w:val="mk-MK"/>
        </w:rPr>
        <w:t xml:space="preserve"> </w:t>
      </w:r>
      <w:r w:rsidR="00115D98">
        <w:rPr>
          <w:lang w:val="mk-MK"/>
        </w:rPr>
        <w:t xml:space="preserve">При крајот на првиот квартал </w:t>
      </w:r>
      <w:r w:rsidR="00115D98">
        <w:rPr>
          <w:lang w:val="mk-MK"/>
        </w:rPr>
        <w:lastRenderedPageBreak/>
        <w:t>годинава, Банката ја реализираше и втората фаза од проектот „Зелен ѕид“ засадувајќи нови 300 високи садници дрв</w:t>
      </w:r>
      <w:r w:rsidR="00E171EC">
        <w:rPr>
          <w:lang w:val="mk-MK"/>
        </w:rPr>
        <w:t>ј</w:t>
      </w:r>
      <w:r w:rsidR="00115D98">
        <w:rPr>
          <w:lang w:val="mk-MK"/>
        </w:rPr>
        <w:t xml:space="preserve">а во Скопје, долж Кејот на реката Вардар од Националната арена „Тоше Проески“ до мостот „Близнак“. Со проектот </w:t>
      </w:r>
      <w:r w:rsidR="0096180F">
        <w:rPr>
          <w:lang w:val="mk-MK"/>
        </w:rPr>
        <w:t>што</w:t>
      </w:r>
      <w:r w:rsidR="00115D98">
        <w:rPr>
          <w:lang w:val="mk-MK"/>
        </w:rPr>
        <w:t xml:space="preserve"> ќе се одвива во период од </w:t>
      </w:r>
      <w:r w:rsidR="0096180F">
        <w:rPr>
          <w:lang w:val="mk-MK"/>
        </w:rPr>
        <w:t>две</w:t>
      </w:r>
      <w:r w:rsidR="00115D98">
        <w:rPr>
          <w:lang w:val="mk-MK"/>
        </w:rPr>
        <w:t xml:space="preserve"> години, Банката има за цел да го зголеми фондот на дрвја во Градот со домашни видови липа, црвен даб, багрем, јавор, црвен јавор и прунус и со тоа да засади нов зелен појас кој</w:t>
      </w:r>
      <w:r w:rsidR="00E171EC">
        <w:rPr>
          <w:lang w:val="mk-MK"/>
        </w:rPr>
        <w:t>,</w:t>
      </w:r>
      <w:r w:rsidR="00115D98">
        <w:rPr>
          <w:lang w:val="mk-MK"/>
        </w:rPr>
        <w:t xml:space="preserve"> како што ќе расте низ годините, ќе ја подобрува животната средина за сите нас. </w:t>
      </w:r>
    </w:p>
    <w:p w14:paraId="67DEFC15" w14:textId="77777777" w:rsidR="00B9276D" w:rsidRDefault="00270E12">
      <w:pPr>
        <w:spacing w:after="0" w:line="240" w:lineRule="auto"/>
        <w:ind w:left="340" w:right="340" w:firstLine="380"/>
        <w:jc w:val="both"/>
        <w:rPr>
          <w:lang w:val="mk-MK"/>
        </w:rPr>
      </w:pPr>
      <w:r>
        <w:rPr>
          <w:lang w:val="mk-MK"/>
        </w:rPr>
        <w:t xml:space="preserve">Истовремено, покрај клиентите и пошироката заедница, Банката продолжува и понатаму со соодветна грижа и посветеност </w:t>
      </w:r>
      <w:r w:rsidR="002B1F95">
        <w:rPr>
          <w:lang w:val="mk-MK"/>
        </w:rPr>
        <w:t>кон</w:t>
      </w:r>
      <w:r>
        <w:rPr>
          <w:lang w:val="mk-MK"/>
        </w:rPr>
        <w:t xml:space="preserve"> своите вработени.</w:t>
      </w:r>
    </w:p>
    <w:p w14:paraId="7079A457" w14:textId="77777777" w:rsidR="00DF5FA1" w:rsidRDefault="00DF5FA1" w:rsidP="00C3063F">
      <w:pPr>
        <w:spacing w:after="0" w:line="240" w:lineRule="auto"/>
        <w:ind w:left="340" w:right="340"/>
        <w:jc w:val="both"/>
        <w:rPr>
          <w:lang w:val="ru-RU"/>
        </w:rPr>
      </w:pPr>
    </w:p>
    <w:p w14:paraId="05A2A155" w14:textId="77777777" w:rsidR="00C574BD" w:rsidRPr="003E7AE6" w:rsidRDefault="00C574BD" w:rsidP="00C3063F">
      <w:pPr>
        <w:spacing w:after="0" w:line="240" w:lineRule="auto"/>
        <w:ind w:left="340" w:right="340"/>
        <w:jc w:val="both"/>
        <w:rPr>
          <w:lang w:val="ru-RU"/>
        </w:rPr>
      </w:pPr>
    </w:p>
    <w:p w14:paraId="4B13F9F1" w14:textId="77777777" w:rsidR="00350CDF" w:rsidRPr="0096618B" w:rsidRDefault="00F05863" w:rsidP="004179E7">
      <w:pPr>
        <w:spacing w:after="0" w:line="240" w:lineRule="auto"/>
        <w:ind w:left="340" w:right="340"/>
        <w:jc w:val="both"/>
        <w:rPr>
          <w:b/>
          <w:lang w:val="mk-MK"/>
        </w:rPr>
      </w:pPr>
      <w:r w:rsidRPr="0096618B">
        <w:rPr>
          <w:b/>
          <w:lang w:val="mk-MK"/>
        </w:rPr>
        <w:t>Известување за промени во сметководствените политики и методи на вреднување</w:t>
      </w:r>
    </w:p>
    <w:p w14:paraId="58687801" w14:textId="77777777" w:rsidR="00A87552" w:rsidRPr="0096618B" w:rsidRDefault="00A87552" w:rsidP="004179E7">
      <w:pPr>
        <w:spacing w:after="0" w:line="240" w:lineRule="auto"/>
        <w:ind w:left="340" w:right="340"/>
        <w:jc w:val="both"/>
        <w:rPr>
          <w:lang w:val="mk-MK"/>
        </w:rPr>
      </w:pPr>
    </w:p>
    <w:p w14:paraId="3AD095F5" w14:textId="77777777" w:rsidR="00B9276D" w:rsidRDefault="00C81104">
      <w:pPr>
        <w:spacing w:after="0" w:line="240" w:lineRule="auto"/>
        <w:ind w:left="340" w:right="340" w:firstLine="380"/>
        <w:jc w:val="both"/>
        <w:rPr>
          <w:lang w:val="mk-MK"/>
        </w:rPr>
      </w:pPr>
      <w:r w:rsidRPr="0096618B">
        <w:rPr>
          <w:lang w:val="mk-MK"/>
        </w:rPr>
        <w:t xml:space="preserve">Во </w:t>
      </w:r>
      <w:r w:rsidR="00373185">
        <w:rPr>
          <w:lang w:val="mk-MK"/>
        </w:rPr>
        <w:t>анализираниот период</w:t>
      </w:r>
      <w:r w:rsidR="00564A9B">
        <w:rPr>
          <w:lang w:val="mk-MK"/>
        </w:rPr>
        <w:t xml:space="preserve"> од 202</w:t>
      </w:r>
      <w:r w:rsidR="008038CD">
        <w:rPr>
          <w:lang w:val="mk-MK"/>
        </w:rPr>
        <w:t>3</w:t>
      </w:r>
      <w:r w:rsidR="004464CB" w:rsidRPr="0096618B">
        <w:rPr>
          <w:lang w:val="mk-MK"/>
        </w:rPr>
        <w:t xml:space="preserve"> година нема промени во сметководствените политики и</w:t>
      </w:r>
      <w:r w:rsidR="00347FA5">
        <w:rPr>
          <w:lang w:val="mk-MK"/>
        </w:rPr>
        <w:t xml:space="preserve"> </w:t>
      </w:r>
      <w:r w:rsidR="004464CB" w:rsidRPr="0096618B">
        <w:rPr>
          <w:lang w:val="mk-MK"/>
        </w:rPr>
        <w:t>методи на вреднување.</w:t>
      </w:r>
    </w:p>
    <w:p w14:paraId="6F159871" w14:textId="77777777" w:rsidR="000C5384" w:rsidRDefault="000C5384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2A8608FC" w14:textId="77777777" w:rsidR="00F8309C" w:rsidRPr="00F8309C" w:rsidRDefault="00F8309C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73136E9B" w14:textId="77777777" w:rsidR="00F05863" w:rsidRPr="00F8309C" w:rsidRDefault="00F05863" w:rsidP="00BE0206">
      <w:pPr>
        <w:spacing w:after="0" w:line="240" w:lineRule="auto"/>
        <w:ind w:left="340" w:right="340"/>
        <w:jc w:val="both"/>
        <w:rPr>
          <w:b/>
          <w:lang w:val="mk-MK"/>
        </w:rPr>
      </w:pPr>
      <w:r w:rsidRPr="00F8309C">
        <w:rPr>
          <w:b/>
          <w:lang w:val="mk-MK"/>
        </w:rPr>
        <w:t>Исплатени дивиденди</w:t>
      </w:r>
    </w:p>
    <w:p w14:paraId="4B871FF4" w14:textId="77777777" w:rsidR="00F4796B" w:rsidRPr="00F8309C" w:rsidRDefault="00F4796B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19E19FFF" w14:textId="77777777" w:rsidR="00364842" w:rsidRPr="00020BB3" w:rsidRDefault="00364842" w:rsidP="00364842">
      <w:pPr>
        <w:autoSpaceDE w:val="0"/>
        <w:autoSpaceDN w:val="0"/>
        <w:adjustRightInd w:val="0"/>
        <w:ind w:left="340" w:right="340"/>
        <w:rPr>
          <w:lang w:val="mk-MK"/>
        </w:rPr>
      </w:pPr>
      <w:r>
        <w:rPr>
          <w:lang w:val="mk-MK"/>
        </w:rPr>
        <w:t>Во првиот квартал од 202</w:t>
      </w:r>
      <w:r w:rsidR="008038CD">
        <w:rPr>
          <w:lang w:val="mk-MK"/>
        </w:rPr>
        <w:t>3</w:t>
      </w:r>
      <w:r w:rsidRPr="00020BB3">
        <w:rPr>
          <w:lang w:val="mk-MK"/>
        </w:rPr>
        <w:t xml:space="preserve"> година </w:t>
      </w:r>
      <w:r>
        <w:rPr>
          <w:lang w:val="mk-MK"/>
        </w:rPr>
        <w:t xml:space="preserve">Банката </w:t>
      </w:r>
      <w:r w:rsidRPr="00020BB3">
        <w:rPr>
          <w:lang w:val="mk-MK"/>
        </w:rPr>
        <w:t>нема извршено исплата на дивиденда.</w:t>
      </w:r>
    </w:p>
    <w:p w14:paraId="7FC3B0A1" w14:textId="77777777" w:rsidR="00D60E40" w:rsidRDefault="00D60E40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115C1D22" w14:textId="77777777" w:rsidR="00D60E40" w:rsidRDefault="00D60E40" w:rsidP="00BE0206">
      <w:pPr>
        <w:spacing w:after="0" w:line="240" w:lineRule="auto"/>
        <w:ind w:left="340" w:right="340"/>
        <w:jc w:val="both"/>
        <w:rPr>
          <w:b/>
          <w:lang w:val="mk-MK"/>
        </w:rPr>
      </w:pPr>
    </w:p>
    <w:p w14:paraId="15D65295" w14:textId="77777777" w:rsidR="002357A4" w:rsidRPr="00D04063" w:rsidRDefault="002357A4" w:rsidP="00BE0206">
      <w:pPr>
        <w:spacing w:after="0" w:line="240" w:lineRule="auto"/>
        <w:ind w:left="340" w:right="340"/>
        <w:jc w:val="both"/>
        <w:rPr>
          <w:lang w:val="mk-MK"/>
        </w:rPr>
      </w:pPr>
    </w:p>
    <w:p w14:paraId="5A2ADE91" w14:textId="585AC439" w:rsidR="001F1003" w:rsidRPr="009A4F45" w:rsidRDefault="005C1DDE" w:rsidP="001F1003">
      <w:pPr>
        <w:spacing w:after="0" w:line="240" w:lineRule="auto"/>
        <w:ind w:left="340" w:right="340"/>
        <w:jc w:val="both"/>
      </w:pPr>
      <w:r w:rsidRPr="00D04063">
        <w:rPr>
          <w:lang w:val="mk-MK"/>
        </w:rPr>
        <w:t>Скопје,</w:t>
      </w:r>
      <w:r w:rsidR="00606E14">
        <w:rPr>
          <w:lang w:val="mk-MK"/>
        </w:rPr>
        <w:t xml:space="preserve"> </w:t>
      </w:r>
      <w:r w:rsidR="007631EF">
        <w:rPr>
          <w:lang w:val="mk-MK"/>
        </w:rPr>
        <w:t>28</w:t>
      </w:r>
      <w:r w:rsidR="00C0512C" w:rsidRPr="007631EF">
        <w:rPr>
          <w:lang w:val="mk-MK"/>
        </w:rPr>
        <w:t>.04</w:t>
      </w:r>
      <w:r w:rsidR="00C0512C">
        <w:rPr>
          <w:lang w:val="mk-MK"/>
        </w:rPr>
        <w:t>.</w:t>
      </w:r>
      <w:r w:rsidR="008038CD">
        <w:rPr>
          <w:lang w:val="mk-MK"/>
        </w:rPr>
        <w:t>2023</w:t>
      </w:r>
      <w:r w:rsidR="00606E14">
        <w:rPr>
          <w:lang w:val="mk-MK"/>
        </w:rPr>
        <w:t xml:space="preserve"> </w:t>
      </w:r>
      <w:r w:rsidR="001F1003">
        <w:rPr>
          <w:lang w:val="mk-MK"/>
        </w:rPr>
        <w:t>година</w:t>
      </w:r>
    </w:p>
    <w:p w14:paraId="39A9429C" w14:textId="77777777" w:rsidR="00440EBF" w:rsidRPr="009A4F45" w:rsidRDefault="00440EBF" w:rsidP="00BE0206">
      <w:pPr>
        <w:spacing w:after="0" w:line="240" w:lineRule="auto"/>
        <w:ind w:left="340" w:right="340"/>
        <w:jc w:val="both"/>
      </w:pPr>
    </w:p>
    <w:sectPr w:rsidR="00440EBF" w:rsidRPr="009A4F45" w:rsidSect="0050707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EDF8" w14:textId="77777777" w:rsidR="00636CEA" w:rsidRDefault="00636CEA" w:rsidP="005D3518">
      <w:pPr>
        <w:spacing w:after="0" w:line="240" w:lineRule="auto"/>
      </w:pPr>
      <w:r>
        <w:separator/>
      </w:r>
    </w:p>
  </w:endnote>
  <w:endnote w:type="continuationSeparator" w:id="0">
    <w:p w14:paraId="2760268D" w14:textId="77777777" w:rsidR="00636CEA" w:rsidRDefault="00636CEA" w:rsidP="005D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CF8D" w14:textId="77777777" w:rsidR="00636CEA" w:rsidRDefault="00636CEA" w:rsidP="005D3518">
      <w:pPr>
        <w:spacing w:after="0" w:line="240" w:lineRule="auto"/>
      </w:pPr>
      <w:r>
        <w:separator/>
      </w:r>
    </w:p>
  </w:footnote>
  <w:footnote w:type="continuationSeparator" w:id="0">
    <w:p w14:paraId="1AF3E307" w14:textId="77777777" w:rsidR="00636CEA" w:rsidRDefault="00636CEA" w:rsidP="005D3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BF"/>
    <w:rsid w:val="000053BC"/>
    <w:rsid w:val="0001521C"/>
    <w:rsid w:val="00015B2E"/>
    <w:rsid w:val="000166F3"/>
    <w:rsid w:val="00016CF2"/>
    <w:rsid w:val="00017EF8"/>
    <w:rsid w:val="00017F0A"/>
    <w:rsid w:val="00020BB3"/>
    <w:rsid w:val="00021C01"/>
    <w:rsid w:val="00023F4E"/>
    <w:rsid w:val="00027800"/>
    <w:rsid w:val="000317DF"/>
    <w:rsid w:val="00032875"/>
    <w:rsid w:val="0003701C"/>
    <w:rsid w:val="00041201"/>
    <w:rsid w:val="00043979"/>
    <w:rsid w:val="00043BB8"/>
    <w:rsid w:val="00044B39"/>
    <w:rsid w:val="00047122"/>
    <w:rsid w:val="0005212C"/>
    <w:rsid w:val="0005404B"/>
    <w:rsid w:val="00054CFD"/>
    <w:rsid w:val="00056C6B"/>
    <w:rsid w:val="00071A6E"/>
    <w:rsid w:val="00072662"/>
    <w:rsid w:val="0007324C"/>
    <w:rsid w:val="000749CE"/>
    <w:rsid w:val="00080EA3"/>
    <w:rsid w:val="00083FE9"/>
    <w:rsid w:val="0008409B"/>
    <w:rsid w:val="00087FE1"/>
    <w:rsid w:val="0009012D"/>
    <w:rsid w:val="0009123E"/>
    <w:rsid w:val="00092CFC"/>
    <w:rsid w:val="000A21DE"/>
    <w:rsid w:val="000A2CD5"/>
    <w:rsid w:val="000B1763"/>
    <w:rsid w:val="000B1E66"/>
    <w:rsid w:val="000B502F"/>
    <w:rsid w:val="000B7D66"/>
    <w:rsid w:val="000C12F7"/>
    <w:rsid w:val="000C2DCD"/>
    <w:rsid w:val="000C431F"/>
    <w:rsid w:val="000C5384"/>
    <w:rsid w:val="000C756C"/>
    <w:rsid w:val="000D3C33"/>
    <w:rsid w:val="000D7FB4"/>
    <w:rsid w:val="000E2497"/>
    <w:rsid w:val="000E3FF6"/>
    <w:rsid w:val="000F3EDA"/>
    <w:rsid w:val="000F5A5F"/>
    <w:rsid w:val="00103B48"/>
    <w:rsid w:val="0010514D"/>
    <w:rsid w:val="00111803"/>
    <w:rsid w:val="00115D98"/>
    <w:rsid w:val="00121E5F"/>
    <w:rsid w:val="001303AF"/>
    <w:rsid w:val="00142107"/>
    <w:rsid w:val="00143159"/>
    <w:rsid w:val="00144645"/>
    <w:rsid w:val="00144DD5"/>
    <w:rsid w:val="00145958"/>
    <w:rsid w:val="00146026"/>
    <w:rsid w:val="001477F0"/>
    <w:rsid w:val="001501E1"/>
    <w:rsid w:val="00157CF2"/>
    <w:rsid w:val="001620C8"/>
    <w:rsid w:val="00164242"/>
    <w:rsid w:val="0016550F"/>
    <w:rsid w:val="00165E31"/>
    <w:rsid w:val="00174A86"/>
    <w:rsid w:val="0017601E"/>
    <w:rsid w:val="00176C7A"/>
    <w:rsid w:val="00181997"/>
    <w:rsid w:val="00182B0D"/>
    <w:rsid w:val="00186934"/>
    <w:rsid w:val="0019279F"/>
    <w:rsid w:val="001931AC"/>
    <w:rsid w:val="00194347"/>
    <w:rsid w:val="00194A57"/>
    <w:rsid w:val="0019799D"/>
    <w:rsid w:val="001A2B6A"/>
    <w:rsid w:val="001B246E"/>
    <w:rsid w:val="001B5BD1"/>
    <w:rsid w:val="001C0D07"/>
    <w:rsid w:val="001C1778"/>
    <w:rsid w:val="001C326B"/>
    <w:rsid w:val="001C770C"/>
    <w:rsid w:val="001C79F8"/>
    <w:rsid w:val="001D1EB2"/>
    <w:rsid w:val="001F0D51"/>
    <w:rsid w:val="001F1003"/>
    <w:rsid w:val="001F28BE"/>
    <w:rsid w:val="00200456"/>
    <w:rsid w:val="00212A2C"/>
    <w:rsid w:val="00212F3E"/>
    <w:rsid w:val="0021346B"/>
    <w:rsid w:val="00213C85"/>
    <w:rsid w:val="00214D54"/>
    <w:rsid w:val="00215783"/>
    <w:rsid w:val="002212DE"/>
    <w:rsid w:val="00225EB0"/>
    <w:rsid w:val="002317E7"/>
    <w:rsid w:val="00231BEC"/>
    <w:rsid w:val="0023439B"/>
    <w:rsid w:val="002357A4"/>
    <w:rsid w:val="00235C9D"/>
    <w:rsid w:val="00246919"/>
    <w:rsid w:val="00251918"/>
    <w:rsid w:val="00254225"/>
    <w:rsid w:val="002552A8"/>
    <w:rsid w:val="0026078A"/>
    <w:rsid w:val="002620D2"/>
    <w:rsid w:val="00265110"/>
    <w:rsid w:val="00270E12"/>
    <w:rsid w:val="002733FB"/>
    <w:rsid w:val="00274341"/>
    <w:rsid w:val="00275232"/>
    <w:rsid w:val="00275CCF"/>
    <w:rsid w:val="002819E1"/>
    <w:rsid w:val="002823CF"/>
    <w:rsid w:val="002843B1"/>
    <w:rsid w:val="002847EC"/>
    <w:rsid w:val="00286E42"/>
    <w:rsid w:val="002936D7"/>
    <w:rsid w:val="00294000"/>
    <w:rsid w:val="00296B60"/>
    <w:rsid w:val="002A0FD7"/>
    <w:rsid w:val="002A281A"/>
    <w:rsid w:val="002A2EBE"/>
    <w:rsid w:val="002A658D"/>
    <w:rsid w:val="002A784E"/>
    <w:rsid w:val="002B050E"/>
    <w:rsid w:val="002B1393"/>
    <w:rsid w:val="002B1B54"/>
    <w:rsid w:val="002B1F95"/>
    <w:rsid w:val="002B3D5D"/>
    <w:rsid w:val="002C08B8"/>
    <w:rsid w:val="002C3179"/>
    <w:rsid w:val="002C4EE0"/>
    <w:rsid w:val="002D1164"/>
    <w:rsid w:val="002D3238"/>
    <w:rsid w:val="002D75B6"/>
    <w:rsid w:val="002E1F1D"/>
    <w:rsid w:val="002F1977"/>
    <w:rsid w:val="002F27CE"/>
    <w:rsid w:val="002F33EB"/>
    <w:rsid w:val="002F37E4"/>
    <w:rsid w:val="002F7C03"/>
    <w:rsid w:val="00302A63"/>
    <w:rsid w:val="003059A0"/>
    <w:rsid w:val="00307559"/>
    <w:rsid w:val="00317A1F"/>
    <w:rsid w:val="003211AD"/>
    <w:rsid w:val="00323A8A"/>
    <w:rsid w:val="00325757"/>
    <w:rsid w:val="00330232"/>
    <w:rsid w:val="00334CD4"/>
    <w:rsid w:val="003351DA"/>
    <w:rsid w:val="003405EF"/>
    <w:rsid w:val="00342412"/>
    <w:rsid w:val="00346000"/>
    <w:rsid w:val="00347FA5"/>
    <w:rsid w:val="00350CDF"/>
    <w:rsid w:val="003526F6"/>
    <w:rsid w:val="003550B6"/>
    <w:rsid w:val="0035621E"/>
    <w:rsid w:val="0035693E"/>
    <w:rsid w:val="00356A83"/>
    <w:rsid w:val="00360DAD"/>
    <w:rsid w:val="0036426C"/>
    <w:rsid w:val="00364842"/>
    <w:rsid w:val="00366AF2"/>
    <w:rsid w:val="00367847"/>
    <w:rsid w:val="003705E8"/>
    <w:rsid w:val="00370609"/>
    <w:rsid w:val="00370907"/>
    <w:rsid w:val="00372F13"/>
    <w:rsid w:val="00373185"/>
    <w:rsid w:val="00377431"/>
    <w:rsid w:val="0038341C"/>
    <w:rsid w:val="00387DF1"/>
    <w:rsid w:val="00390F71"/>
    <w:rsid w:val="0039135E"/>
    <w:rsid w:val="003943AE"/>
    <w:rsid w:val="00396373"/>
    <w:rsid w:val="00397945"/>
    <w:rsid w:val="003A21A3"/>
    <w:rsid w:val="003A22CF"/>
    <w:rsid w:val="003A2514"/>
    <w:rsid w:val="003A3E63"/>
    <w:rsid w:val="003A4876"/>
    <w:rsid w:val="003A6984"/>
    <w:rsid w:val="003A7A86"/>
    <w:rsid w:val="003B0ACE"/>
    <w:rsid w:val="003B0F45"/>
    <w:rsid w:val="003B4580"/>
    <w:rsid w:val="003B5EA5"/>
    <w:rsid w:val="003C2F2E"/>
    <w:rsid w:val="003C6668"/>
    <w:rsid w:val="003D586B"/>
    <w:rsid w:val="003D63F1"/>
    <w:rsid w:val="003D709E"/>
    <w:rsid w:val="003D73CF"/>
    <w:rsid w:val="003E19DB"/>
    <w:rsid w:val="003E1C81"/>
    <w:rsid w:val="003E2829"/>
    <w:rsid w:val="003E7AE6"/>
    <w:rsid w:val="003F01CC"/>
    <w:rsid w:val="003F07FA"/>
    <w:rsid w:val="003F4125"/>
    <w:rsid w:val="003F4E66"/>
    <w:rsid w:val="003F50D9"/>
    <w:rsid w:val="003F6490"/>
    <w:rsid w:val="00402A01"/>
    <w:rsid w:val="00403983"/>
    <w:rsid w:val="00403C7B"/>
    <w:rsid w:val="004062D4"/>
    <w:rsid w:val="00406EE1"/>
    <w:rsid w:val="0040727D"/>
    <w:rsid w:val="00410566"/>
    <w:rsid w:val="00413554"/>
    <w:rsid w:val="004143BC"/>
    <w:rsid w:val="004154E9"/>
    <w:rsid w:val="004179E7"/>
    <w:rsid w:val="00417DAB"/>
    <w:rsid w:val="00421088"/>
    <w:rsid w:val="004226EE"/>
    <w:rsid w:val="0042341B"/>
    <w:rsid w:val="00434E8E"/>
    <w:rsid w:val="004379B8"/>
    <w:rsid w:val="00437AC3"/>
    <w:rsid w:val="00440EBF"/>
    <w:rsid w:val="004416C6"/>
    <w:rsid w:val="00446231"/>
    <w:rsid w:val="004464CB"/>
    <w:rsid w:val="004512BF"/>
    <w:rsid w:val="00451912"/>
    <w:rsid w:val="00452719"/>
    <w:rsid w:val="00457215"/>
    <w:rsid w:val="004572D0"/>
    <w:rsid w:val="004575DA"/>
    <w:rsid w:val="00467B7E"/>
    <w:rsid w:val="0047037A"/>
    <w:rsid w:val="0047119F"/>
    <w:rsid w:val="00471283"/>
    <w:rsid w:val="00476568"/>
    <w:rsid w:val="0048368C"/>
    <w:rsid w:val="00486080"/>
    <w:rsid w:val="004902A6"/>
    <w:rsid w:val="00490CD6"/>
    <w:rsid w:val="00496F74"/>
    <w:rsid w:val="00497F2C"/>
    <w:rsid w:val="004A3CD6"/>
    <w:rsid w:val="004A3ED3"/>
    <w:rsid w:val="004A5748"/>
    <w:rsid w:val="004A7303"/>
    <w:rsid w:val="004A7F54"/>
    <w:rsid w:val="004B3525"/>
    <w:rsid w:val="004B459D"/>
    <w:rsid w:val="004C1F51"/>
    <w:rsid w:val="004D1C81"/>
    <w:rsid w:val="004D1E88"/>
    <w:rsid w:val="004D5039"/>
    <w:rsid w:val="004D5FB2"/>
    <w:rsid w:val="004D62B4"/>
    <w:rsid w:val="004D727D"/>
    <w:rsid w:val="004E44B9"/>
    <w:rsid w:val="004E4E07"/>
    <w:rsid w:val="004E4F40"/>
    <w:rsid w:val="004F1661"/>
    <w:rsid w:val="004F4507"/>
    <w:rsid w:val="004F662C"/>
    <w:rsid w:val="0050498C"/>
    <w:rsid w:val="005054F9"/>
    <w:rsid w:val="005056FB"/>
    <w:rsid w:val="00505E26"/>
    <w:rsid w:val="00507074"/>
    <w:rsid w:val="00511B10"/>
    <w:rsid w:val="00520C4E"/>
    <w:rsid w:val="00522EED"/>
    <w:rsid w:val="00523443"/>
    <w:rsid w:val="00524833"/>
    <w:rsid w:val="005261B8"/>
    <w:rsid w:val="00526634"/>
    <w:rsid w:val="00526C08"/>
    <w:rsid w:val="00530215"/>
    <w:rsid w:val="00530AA9"/>
    <w:rsid w:val="00530E43"/>
    <w:rsid w:val="005310FC"/>
    <w:rsid w:val="0053388C"/>
    <w:rsid w:val="00536252"/>
    <w:rsid w:val="00536B8C"/>
    <w:rsid w:val="00536D81"/>
    <w:rsid w:val="00551DF5"/>
    <w:rsid w:val="005618A7"/>
    <w:rsid w:val="005623D7"/>
    <w:rsid w:val="00562E5D"/>
    <w:rsid w:val="00564390"/>
    <w:rsid w:val="00564A9B"/>
    <w:rsid w:val="00570662"/>
    <w:rsid w:val="00570A99"/>
    <w:rsid w:val="00572506"/>
    <w:rsid w:val="0057751E"/>
    <w:rsid w:val="0057788D"/>
    <w:rsid w:val="00581E75"/>
    <w:rsid w:val="005A4799"/>
    <w:rsid w:val="005A4E25"/>
    <w:rsid w:val="005B1D09"/>
    <w:rsid w:val="005B36C5"/>
    <w:rsid w:val="005B7DD1"/>
    <w:rsid w:val="005C1DDE"/>
    <w:rsid w:val="005C3A18"/>
    <w:rsid w:val="005C3B1C"/>
    <w:rsid w:val="005C4092"/>
    <w:rsid w:val="005C5526"/>
    <w:rsid w:val="005C6B52"/>
    <w:rsid w:val="005C6C9E"/>
    <w:rsid w:val="005C7CC8"/>
    <w:rsid w:val="005D1790"/>
    <w:rsid w:val="005D2749"/>
    <w:rsid w:val="005D299E"/>
    <w:rsid w:val="005D31DC"/>
    <w:rsid w:val="005D3518"/>
    <w:rsid w:val="005D6C1A"/>
    <w:rsid w:val="005E1973"/>
    <w:rsid w:val="005E4D7F"/>
    <w:rsid w:val="005E4FBE"/>
    <w:rsid w:val="005F2BAB"/>
    <w:rsid w:val="005F5B78"/>
    <w:rsid w:val="005F63C9"/>
    <w:rsid w:val="005F7367"/>
    <w:rsid w:val="006009ED"/>
    <w:rsid w:val="00606E14"/>
    <w:rsid w:val="00610D2F"/>
    <w:rsid w:val="00612CF9"/>
    <w:rsid w:val="00616AED"/>
    <w:rsid w:val="00616E7C"/>
    <w:rsid w:val="006223F9"/>
    <w:rsid w:val="006231A4"/>
    <w:rsid w:val="00626DC4"/>
    <w:rsid w:val="006322AD"/>
    <w:rsid w:val="006355C2"/>
    <w:rsid w:val="00636CEA"/>
    <w:rsid w:val="00637046"/>
    <w:rsid w:val="006406DF"/>
    <w:rsid w:val="006418BD"/>
    <w:rsid w:val="00645A03"/>
    <w:rsid w:val="00646057"/>
    <w:rsid w:val="0064616F"/>
    <w:rsid w:val="00651F8A"/>
    <w:rsid w:val="00653C3A"/>
    <w:rsid w:val="0065475B"/>
    <w:rsid w:val="00655E7F"/>
    <w:rsid w:val="0065659F"/>
    <w:rsid w:val="00657CC0"/>
    <w:rsid w:val="006618F6"/>
    <w:rsid w:val="00663041"/>
    <w:rsid w:val="0066521C"/>
    <w:rsid w:val="00666EB9"/>
    <w:rsid w:val="00672C75"/>
    <w:rsid w:val="006764D2"/>
    <w:rsid w:val="00681D76"/>
    <w:rsid w:val="00681EB0"/>
    <w:rsid w:val="006825D8"/>
    <w:rsid w:val="00682715"/>
    <w:rsid w:val="00686071"/>
    <w:rsid w:val="00693987"/>
    <w:rsid w:val="00693D50"/>
    <w:rsid w:val="006945D9"/>
    <w:rsid w:val="006955B2"/>
    <w:rsid w:val="00695CE0"/>
    <w:rsid w:val="00695E5A"/>
    <w:rsid w:val="006962B6"/>
    <w:rsid w:val="00697538"/>
    <w:rsid w:val="006975AB"/>
    <w:rsid w:val="006A2AF5"/>
    <w:rsid w:val="006A30C3"/>
    <w:rsid w:val="006A6188"/>
    <w:rsid w:val="006B10F9"/>
    <w:rsid w:val="006B4F41"/>
    <w:rsid w:val="006B5889"/>
    <w:rsid w:val="006B7CE1"/>
    <w:rsid w:val="006C31E5"/>
    <w:rsid w:val="006C3BAE"/>
    <w:rsid w:val="006D04FC"/>
    <w:rsid w:val="006D23D2"/>
    <w:rsid w:val="006D35DC"/>
    <w:rsid w:val="006E548A"/>
    <w:rsid w:val="006F4FCC"/>
    <w:rsid w:val="00701C6D"/>
    <w:rsid w:val="0070479F"/>
    <w:rsid w:val="0070537B"/>
    <w:rsid w:val="007055CD"/>
    <w:rsid w:val="007070E0"/>
    <w:rsid w:val="007160CE"/>
    <w:rsid w:val="007205CA"/>
    <w:rsid w:val="00725CA1"/>
    <w:rsid w:val="00727917"/>
    <w:rsid w:val="00733A61"/>
    <w:rsid w:val="00734E1D"/>
    <w:rsid w:val="007359F3"/>
    <w:rsid w:val="00736424"/>
    <w:rsid w:val="007375B3"/>
    <w:rsid w:val="00741E79"/>
    <w:rsid w:val="00745EE5"/>
    <w:rsid w:val="0075157A"/>
    <w:rsid w:val="00755A92"/>
    <w:rsid w:val="00756E4A"/>
    <w:rsid w:val="00757DE4"/>
    <w:rsid w:val="00761A0D"/>
    <w:rsid w:val="007631EF"/>
    <w:rsid w:val="00763504"/>
    <w:rsid w:val="00764463"/>
    <w:rsid w:val="00772E2A"/>
    <w:rsid w:val="00776260"/>
    <w:rsid w:val="00781555"/>
    <w:rsid w:val="00783335"/>
    <w:rsid w:val="00784AC7"/>
    <w:rsid w:val="00786518"/>
    <w:rsid w:val="00787EAD"/>
    <w:rsid w:val="0079635E"/>
    <w:rsid w:val="007A04EB"/>
    <w:rsid w:val="007A1F00"/>
    <w:rsid w:val="007A378E"/>
    <w:rsid w:val="007A6DC0"/>
    <w:rsid w:val="007A7ED7"/>
    <w:rsid w:val="007B0651"/>
    <w:rsid w:val="007B303E"/>
    <w:rsid w:val="007B34CE"/>
    <w:rsid w:val="007B45C1"/>
    <w:rsid w:val="007B5436"/>
    <w:rsid w:val="007B6201"/>
    <w:rsid w:val="007B637C"/>
    <w:rsid w:val="007C04A8"/>
    <w:rsid w:val="007C7BC2"/>
    <w:rsid w:val="007D496C"/>
    <w:rsid w:val="007D5333"/>
    <w:rsid w:val="007D6D78"/>
    <w:rsid w:val="007E0E33"/>
    <w:rsid w:val="007E3D9D"/>
    <w:rsid w:val="007E4844"/>
    <w:rsid w:val="007E48BD"/>
    <w:rsid w:val="007F13C9"/>
    <w:rsid w:val="007F44DA"/>
    <w:rsid w:val="007F6604"/>
    <w:rsid w:val="007F76E8"/>
    <w:rsid w:val="0080185C"/>
    <w:rsid w:val="00801A3D"/>
    <w:rsid w:val="008038CD"/>
    <w:rsid w:val="00815032"/>
    <w:rsid w:val="00815D0B"/>
    <w:rsid w:val="00815E99"/>
    <w:rsid w:val="00816944"/>
    <w:rsid w:val="00816F65"/>
    <w:rsid w:val="00817BBD"/>
    <w:rsid w:val="0082002A"/>
    <w:rsid w:val="008245BC"/>
    <w:rsid w:val="00826709"/>
    <w:rsid w:val="008369DE"/>
    <w:rsid w:val="00836DFA"/>
    <w:rsid w:val="00841922"/>
    <w:rsid w:val="00841ABB"/>
    <w:rsid w:val="0084255E"/>
    <w:rsid w:val="008517A8"/>
    <w:rsid w:val="00852008"/>
    <w:rsid w:val="008551F7"/>
    <w:rsid w:val="00860767"/>
    <w:rsid w:val="008620B0"/>
    <w:rsid w:val="00862DB5"/>
    <w:rsid w:val="0086364D"/>
    <w:rsid w:val="0086377E"/>
    <w:rsid w:val="00863EA3"/>
    <w:rsid w:val="00867369"/>
    <w:rsid w:val="0087219E"/>
    <w:rsid w:val="00872246"/>
    <w:rsid w:val="008737FC"/>
    <w:rsid w:val="00874E12"/>
    <w:rsid w:val="008759CC"/>
    <w:rsid w:val="00884185"/>
    <w:rsid w:val="008914DE"/>
    <w:rsid w:val="00895314"/>
    <w:rsid w:val="008A0964"/>
    <w:rsid w:val="008A3EFF"/>
    <w:rsid w:val="008A747C"/>
    <w:rsid w:val="008A7BA1"/>
    <w:rsid w:val="008B03DC"/>
    <w:rsid w:val="008B2405"/>
    <w:rsid w:val="008B27CA"/>
    <w:rsid w:val="008B2A7E"/>
    <w:rsid w:val="008B5D4D"/>
    <w:rsid w:val="008B719C"/>
    <w:rsid w:val="008C28A0"/>
    <w:rsid w:val="008D53A2"/>
    <w:rsid w:val="008D55A4"/>
    <w:rsid w:val="008D7F7B"/>
    <w:rsid w:val="008E3F38"/>
    <w:rsid w:val="008E592E"/>
    <w:rsid w:val="008E5957"/>
    <w:rsid w:val="008E7EC4"/>
    <w:rsid w:val="008F4BC4"/>
    <w:rsid w:val="008F75A1"/>
    <w:rsid w:val="00901482"/>
    <w:rsid w:val="0090358A"/>
    <w:rsid w:val="0091159E"/>
    <w:rsid w:val="00916D00"/>
    <w:rsid w:val="00917885"/>
    <w:rsid w:val="00917B72"/>
    <w:rsid w:val="009204C9"/>
    <w:rsid w:val="0092170D"/>
    <w:rsid w:val="00927F2F"/>
    <w:rsid w:val="009341F9"/>
    <w:rsid w:val="0094220E"/>
    <w:rsid w:val="0094376C"/>
    <w:rsid w:val="009455E7"/>
    <w:rsid w:val="00947C48"/>
    <w:rsid w:val="00947F3A"/>
    <w:rsid w:val="009519F9"/>
    <w:rsid w:val="00960672"/>
    <w:rsid w:val="00961387"/>
    <w:rsid w:val="0096180F"/>
    <w:rsid w:val="00962C13"/>
    <w:rsid w:val="0096618B"/>
    <w:rsid w:val="009666BB"/>
    <w:rsid w:val="0096692D"/>
    <w:rsid w:val="00971EA9"/>
    <w:rsid w:val="009724B6"/>
    <w:rsid w:val="009734DD"/>
    <w:rsid w:val="0097392B"/>
    <w:rsid w:val="00973C95"/>
    <w:rsid w:val="00974808"/>
    <w:rsid w:val="009752D5"/>
    <w:rsid w:val="0097601E"/>
    <w:rsid w:val="00980B1C"/>
    <w:rsid w:val="00981257"/>
    <w:rsid w:val="00981659"/>
    <w:rsid w:val="00983734"/>
    <w:rsid w:val="00990A08"/>
    <w:rsid w:val="00991CE7"/>
    <w:rsid w:val="0099386C"/>
    <w:rsid w:val="009946C6"/>
    <w:rsid w:val="009955EA"/>
    <w:rsid w:val="009A050D"/>
    <w:rsid w:val="009A1851"/>
    <w:rsid w:val="009A4AB2"/>
    <w:rsid w:val="009A4F45"/>
    <w:rsid w:val="009A5573"/>
    <w:rsid w:val="009A6555"/>
    <w:rsid w:val="009A722D"/>
    <w:rsid w:val="009B2690"/>
    <w:rsid w:val="009B2CBE"/>
    <w:rsid w:val="009B3667"/>
    <w:rsid w:val="009C02CD"/>
    <w:rsid w:val="009C4195"/>
    <w:rsid w:val="009C72FC"/>
    <w:rsid w:val="009D2C6F"/>
    <w:rsid w:val="009D42BC"/>
    <w:rsid w:val="009D4AC7"/>
    <w:rsid w:val="009D528F"/>
    <w:rsid w:val="009D6E1F"/>
    <w:rsid w:val="009D6EAF"/>
    <w:rsid w:val="009E0EF0"/>
    <w:rsid w:val="009E2264"/>
    <w:rsid w:val="009E6137"/>
    <w:rsid w:val="009F0C9A"/>
    <w:rsid w:val="00A0417F"/>
    <w:rsid w:val="00A10DAE"/>
    <w:rsid w:val="00A11356"/>
    <w:rsid w:val="00A128CB"/>
    <w:rsid w:val="00A135CE"/>
    <w:rsid w:val="00A22D81"/>
    <w:rsid w:val="00A3086F"/>
    <w:rsid w:val="00A32E29"/>
    <w:rsid w:val="00A35200"/>
    <w:rsid w:val="00A3788E"/>
    <w:rsid w:val="00A42EED"/>
    <w:rsid w:val="00A4466A"/>
    <w:rsid w:val="00A47B7C"/>
    <w:rsid w:val="00A50393"/>
    <w:rsid w:val="00A50F82"/>
    <w:rsid w:val="00A52D2E"/>
    <w:rsid w:val="00A52EEF"/>
    <w:rsid w:val="00A54324"/>
    <w:rsid w:val="00A56197"/>
    <w:rsid w:val="00A566C0"/>
    <w:rsid w:val="00A57B8B"/>
    <w:rsid w:val="00A64880"/>
    <w:rsid w:val="00A73BE7"/>
    <w:rsid w:val="00A749D5"/>
    <w:rsid w:val="00A75CC1"/>
    <w:rsid w:val="00A777E1"/>
    <w:rsid w:val="00A77D0D"/>
    <w:rsid w:val="00A81E2C"/>
    <w:rsid w:val="00A87552"/>
    <w:rsid w:val="00A96A04"/>
    <w:rsid w:val="00A96D0A"/>
    <w:rsid w:val="00A97410"/>
    <w:rsid w:val="00AA1BCB"/>
    <w:rsid w:val="00AA6EB2"/>
    <w:rsid w:val="00AB07EB"/>
    <w:rsid w:val="00AB3B3A"/>
    <w:rsid w:val="00AB4E00"/>
    <w:rsid w:val="00AB53A3"/>
    <w:rsid w:val="00AC17E8"/>
    <w:rsid w:val="00AC1DCC"/>
    <w:rsid w:val="00AC233F"/>
    <w:rsid w:val="00AC4405"/>
    <w:rsid w:val="00AC4E8C"/>
    <w:rsid w:val="00AC557A"/>
    <w:rsid w:val="00AD6F47"/>
    <w:rsid w:val="00AD74A9"/>
    <w:rsid w:val="00AE2234"/>
    <w:rsid w:val="00AE582E"/>
    <w:rsid w:val="00AE6CDF"/>
    <w:rsid w:val="00AE70E0"/>
    <w:rsid w:val="00AF0CE2"/>
    <w:rsid w:val="00AF4844"/>
    <w:rsid w:val="00AF4C84"/>
    <w:rsid w:val="00AF7D85"/>
    <w:rsid w:val="00B10115"/>
    <w:rsid w:val="00B12F96"/>
    <w:rsid w:val="00B13089"/>
    <w:rsid w:val="00B13ADC"/>
    <w:rsid w:val="00B16996"/>
    <w:rsid w:val="00B22B5B"/>
    <w:rsid w:val="00B24443"/>
    <w:rsid w:val="00B332DF"/>
    <w:rsid w:val="00B34102"/>
    <w:rsid w:val="00B34F03"/>
    <w:rsid w:val="00B35411"/>
    <w:rsid w:val="00B409A1"/>
    <w:rsid w:val="00B445D0"/>
    <w:rsid w:val="00B44C9D"/>
    <w:rsid w:val="00B50567"/>
    <w:rsid w:val="00B55503"/>
    <w:rsid w:val="00B57052"/>
    <w:rsid w:val="00B650B8"/>
    <w:rsid w:val="00B71EB6"/>
    <w:rsid w:val="00B73FFB"/>
    <w:rsid w:val="00B74037"/>
    <w:rsid w:val="00B81CAA"/>
    <w:rsid w:val="00B81CCB"/>
    <w:rsid w:val="00B83D47"/>
    <w:rsid w:val="00B905E5"/>
    <w:rsid w:val="00B9276D"/>
    <w:rsid w:val="00BA523D"/>
    <w:rsid w:val="00BB0298"/>
    <w:rsid w:val="00BB47B8"/>
    <w:rsid w:val="00BB709F"/>
    <w:rsid w:val="00BB792F"/>
    <w:rsid w:val="00BB7D82"/>
    <w:rsid w:val="00BD48C5"/>
    <w:rsid w:val="00BD7A11"/>
    <w:rsid w:val="00BE0206"/>
    <w:rsid w:val="00BE0D32"/>
    <w:rsid w:val="00BE1103"/>
    <w:rsid w:val="00BE38D5"/>
    <w:rsid w:val="00BE680E"/>
    <w:rsid w:val="00BF1850"/>
    <w:rsid w:val="00BF5C71"/>
    <w:rsid w:val="00BF5CB9"/>
    <w:rsid w:val="00C025B9"/>
    <w:rsid w:val="00C0512C"/>
    <w:rsid w:val="00C15464"/>
    <w:rsid w:val="00C215E3"/>
    <w:rsid w:val="00C27791"/>
    <w:rsid w:val="00C27F29"/>
    <w:rsid w:val="00C3063F"/>
    <w:rsid w:val="00C33CA1"/>
    <w:rsid w:val="00C40C57"/>
    <w:rsid w:val="00C40E33"/>
    <w:rsid w:val="00C41184"/>
    <w:rsid w:val="00C42339"/>
    <w:rsid w:val="00C424CD"/>
    <w:rsid w:val="00C42CEA"/>
    <w:rsid w:val="00C47D4C"/>
    <w:rsid w:val="00C54BD4"/>
    <w:rsid w:val="00C55CBE"/>
    <w:rsid w:val="00C574BD"/>
    <w:rsid w:val="00C60467"/>
    <w:rsid w:val="00C60D43"/>
    <w:rsid w:val="00C62023"/>
    <w:rsid w:val="00C638C7"/>
    <w:rsid w:val="00C63A2F"/>
    <w:rsid w:val="00C66D05"/>
    <w:rsid w:val="00C713A3"/>
    <w:rsid w:val="00C728B6"/>
    <w:rsid w:val="00C81104"/>
    <w:rsid w:val="00CA7D09"/>
    <w:rsid w:val="00CB2441"/>
    <w:rsid w:val="00CB26C8"/>
    <w:rsid w:val="00CB3C36"/>
    <w:rsid w:val="00CB5C1E"/>
    <w:rsid w:val="00CB6604"/>
    <w:rsid w:val="00CB6B11"/>
    <w:rsid w:val="00CB6B30"/>
    <w:rsid w:val="00CC0852"/>
    <w:rsid w:val="00CC11E0"/>
    <w:rsid w:val="00CC1417"/>
    <w:rsid w:val="00CC3B37"/>
    <w:rsid w:val="00CD0652"/>
    <w:rsid w:val="00CD0BA7"/>
    <w:rsid w:val="00CD3C3D"/>
    <w:rsid w:val="00CD5CA6"/>
    <w:rsid w:val="00CD6CB9"/>
    <w:rsid w:val="00CE1092"/>
    <w:rsid w:val="00CF06CD"/>
    <w:rsid w:val="00CF2256"/>
    <w:rsid w:val="00CF4C18"/>
    <w:rsid w:val="00CF61E1"/>
    <w:rsid w:val="00CF7BA9"/>
    <w:rsid w:val="00D04063"/>
    <w:rsid w:val="00D07836"/>
    <w:rsid w:val="00D07A71"/>
    <w:rsid w:val="00D10188"/>
    <w:rsid w:val="00D1035C"/>
    <w:rsid w:val="00D12268"/>
    <w:rsid w:val="00D13268"/>
    <w:rsid w:val="00D23EBF"/>
    <w:rsid w:val="00D25435"/>
    <w:rsid w:val="00D25F3F"/>
    <w:rsid w:val="00D26005"/>
    <w:rsid w:val="00D272FB"/>
    <w:rsid w:val="00D30575"/>
    <w:rsid w:val="00D3076A"/>
    <w:rsid w:val="00D317D4"/>
    <w:rsid w:val="00D35018"/>
    <w:rsid w:val="00D42309"/>
    <w:rsid w:val="00D42531"/>
    <w:rsid w:val="00D46320"/>
    <w:rsid w:val="00D500A8"/>
    <w:rsid w:val="00D505B8"/>
    <w:rsid w:val="00D51036"/>
    <w:rsid w:val="00D54C23"/>
    <w:rsid w:val="00D60E40"/>
    <w:rsid w:val="00D60F48"/>
    <w:rsid w:val="00D66174"/>
    <w:rsid w:val="00D6654A"/>
    <w:rsid w:val="00D7296B"/>
    <w:rsid w:val="00D80171"/>
    <w:rsid w:val="00D86B4D"/>
    <w:rsid w:val="00D9568D"/>
    <w:rsid w:val="00D9691C"/>
    <w:rsid w:val="00D96BE8"/>
    <w:rsid w:val="00DA4D24"/>
    <w:rsid w:val="00DB24C6"/>
    <w:rsid w:val="00DB26A3"/>
    <w:rsid w:val="00DB47FC"/>
    <w:rsid w:val="00DB606A"/>
    <w:rsid w:val="00DC3E14"/>
    <w:rsid w:val="00DC5AAB"/>
    <w:rsid w:val="00DC73CE"/>
    <w:rsid w:val="00DD76CA"/>
    <w:rsid w:val="00DE2FDD"/>
    <w:rsid w:val="00DE4BBF"/>
    <w:rsid w:val="00DE4D40"/>
    <w:rsid w:val="00DE6321"/>
    <w:rsid w:val="00DF1047"/>
    <w:rsid w:val="00DF2557"/>
    <w:rsid w:val="00DF3280"/>
    <w:rsid w:val="00DF4764"/>
    <w:rsid w:val="00DF5FA1"/>
    <w:rsid w:val="00E0015D"/>
    <w:rsid w:val="00E003E4"/>
    <w:rsid w:val="00E01D6D"/>
    <w:rsid w:val="00E02D38"/>
    <w:rsid w:val="00E03921"/>
    <w:rsid w:val="00E0549B"/>
    <w:rsid w:val="00E101AE"/>
    <w:rsid w:val="00E1044F"/>
    <w:rsid w:val="00E15606"/>
    <w:rsid w:val="00E171EC"/>
    <w:rsid w:val="00E200A7"/>
    <w:rsid w:val="00E21440"/>
    <w:rsid w:val="00E25DBC"/>
    <w:rsid w:val="00E26364"/>
    <w:rsid w:val="00E278EB"/>
    <w:rsid w:val="00E30B80"/>
    <w:rsid w:val="00E32538"/>
    <w:rsid w:val="00E344B2"/>
    <w:rsid w:val="00E376F5"/>
    <w:rsid w:val="00E40BD4"/>
    <w:rsid w:val="00E45778"/>
    <w:rsid w:val="00E67FC3"/>
    <w:rsid w:val="00E71ACD"/>
    <w:rsid w:val="00E71B56"/>
    <w:rsid w:val="00E71BAB"/>
    <w:rsid w:val="00E73024"/>
    <w:rsid w:val="00E74CEA"/>
    <w:rsid w:val="00E773E7"/>
    <w:rsid w:val="00E779FC"/>
    <w:rsid w:val="00E80A33"/>
    <w:rsid w:val="00E81F84"/>
    <w:rsid w:val="00E82CE9"/>
    <w:rsid w:val="00E84A18"/>
    <w:rsid w:val="00E850E7"/>
    <w:rsid w:val="00E86DB7"/>
    <w:rsid w:val="00E9218A"/>
    <w:rsid w:val="00E95596"/>
    <w:rsid w:val="00EA265A"/>
    <w:rsid w:val="00EA48FA"/>
    <w:rsid w:val="00EA68D7"/>
    <w:rsid w:val="00EB5660"/>
    <w:rsid w:val="00EC0576"/>
    <w:rsid w:val="00EC324F"/>
    <w:rsid w:val="00EC6447"/>
    <w:rsid w:val="00ED3E4B"/>
    <w:rsid w:val="00EE60E5"/>
    <w:rsid w:val="00EE67B6"/>
    <w:rsid w:val="00EE7616"/>
    <w:rsid w:val="00EE7689"/>
    <w:rsid w:val="00EF00DB"/>
    <w:rsid w:val="00EF2D69"/>
    <w:rsid w:val="00EF4D15"/>
    <w:rsid w:val="00EF5D36"/>
    <w:rsid w:val="00EF6BF7"/>
    <w:rsid w:val="00F03339"/>
    <w:rsid w:val="00F04F59"/>
    <w:rsid w:val="00F04F74"/>
    <w:rsid w:val="00F05863"/>
    <w:rsid w:val="00F112C5"/>
    <w:rsid w:val="00F13E9B"/>
    <w:rsid w:val="00F20DFD"/>
    <w:rsid w:val="00F23AD6"/>
    <w:rsid w:val="00F3790B"/>
    <w:rsid w:val="00F43EA4"/>
    <w:rsid w:val="00F454BA"/>
    <w:rsid w:val="00F4796B"/>
    <w:rsid w:val="00F5119D"/>
    <w:rsid w:val="00F54047"/>
    <w:rsid w:val="00F56A1D"/>
    <w:rsid w:val="00F570BB"/>
    <w:rsid w:val="00F57EC7"/>
    <w:rsid w:val="00F72E3F"/>
    <w:rsid w:val="00F73080"/>
    <w:rsid w:val="00F76922"/>
    <w:rsid w:val="00F8309C"/>
    <w:rsid w:val="00F847A0"/>
    <w:rsid w:val="00F90779"/>
    <w:rsid w:val="00F9525F"/>
    <w:rsid w:val="00FA09E6"/>
    <w:rsid w:val="00FA4774"/>
    <w:rsid w:val="00FA5DBD"/>
    <w:rsid w:val="00FA6D81"/>
    <w:rsid w:val="00FA7A00"/>
    <w:rsid w:val="00FB1603"/>
    <w:rsid w:val="00FB1BA4"/>
    <w:rsid w:val="00FC03C5"/>
    <w:rsid w:val="00FC19AD"/>
    <w:rsid w:val="00FC55A4"/>
    <w:rsid w:val="00FD0E16"/>
    <w:rsid w:val="00FD2214"/>
    <w:rsid w:val="00FD3323"/>
    <w:rsid w:val="00FD5D86"/>
    <w:rsid w:val="00FD756B"/>
    <w:rsid w:val="00FE0321"/>
    <w:rsid w:val="00FE2E8D"/>
    <w:rsid w:val="00FE6323"/>
    <w:rsid w:val="00FF3F76"/>
    <w:rsid w:val="00FF5DCE"/>
    <w:rsid w:val="00FF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90EB"/>
  <w15:docId w15:val="{3A3DE4FA-20D5-483F-9AF1-45F0835A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7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7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7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7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3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518"/>
  </w:style>
  <w:style w:type="paragraph" w:styleId="Footer">
    <w:name w:val="footer"/>
    <w:basedOn w:val="Normal"/>
    <w:link w:val="FooterChar"/>
    <w:uiPriority w:val="99"/>
    <w:unhideWhenUsed/>
    <w:rsid w:val="005D3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518"/>
  </w:style>
  <w:style w:type="paragraph" w:customStyle="1" w:styleId="Default">
    <w:name w:val="Default"/>
    <w:rsid w:val="00A32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48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msonormal"/>
    <w:basedOn w:val="Normal"/>
    <w:uiPriority w:val="99"/>
    <w:rsid w:val="00C306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21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B8C3-2D7E-4DBB-8157-B7F9DF1A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 Trajanovska</dc:creator>
  <cp:lastModifiedBy>Emilija Vukicevic</cp:lastModifiedBy>
  <cp:revision>2</cp:revision>
  <cp:lastPrinted>2019-02-12T08:04:00Z</cp:lastPrinted>
  <dcterms:created xsi:type="dcterms:W3CDTF">2023-04-28T12:22:00Z</dcterms:created>
  <dcterms:modified xsi:type="dcterms:W3CDTF">2023-04-28T12:22:00Z</dcterms:modified>
</cp:coreProperties>
</file>